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60" w:lineRule="auto"/>
        <w:jc w:val="center"/>
        <w:rPr/>
      </w:pPr>
      <w:r w:rsidDel="00000000" w:rsidR="00000000" w:rsidRPr="00000000">
        <w:rPr>
          <w:rtl w:val="0"/>
        </w:rPr>
        <w:t xml:space="preserve">MLU-1.1 — Introduction to Islam and the first article of faith, Tauheed.</w:t>
      </w:r>
    </w:p>
    <w:p w:rsidR="00000000" w:rsidDel="00000000" w:rsidP="00000000" w:rsidRDefault="00000000" w:rsidRPr="00000000" w14:paraId="00000002">
      <w:pPr>
        <w:spacing w:after="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Brief Overview.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MLU will explain Islam as submission and obedience to Allah, the importance of Tawheed and La ilaha illallah, and Islam as a universal, complete, eternal, and comprehensive way of life. It covers type of Tauheed, the rejection of shirk, and the impact of faith on character, behavior, and life.</w:t>
      </w:r>
    </w:p>
    <w:p w:rsidR="00000000" w:rsidDel="00000000" w:rsidP="00000000" w:rsidRDefault="00000000" w:rsidRPr="00000000" w14:paraId="00000003">
      <w:pPr>
        <w:spacing w:after="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MLO-1.1.1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5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Explanation of Islam as submission and obedience to Allah, resulting in peace and harmony.</w:t>
      </w:r>
    </w:p>
    <w:p w:rsidR="00000000" w:rsidDel="00000000" w:rsidP="00000000" w:rsidRDefault="00000000" w:rsidRPr="00000000" w14:paraId="00000006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MLO-1.1.2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7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Understanding the distinguishing qualities of Islam as a unified, everlasting, and comprehensive way of life.</w:t>
      </w:r>
    </w:p>
    <w:p w:rsidR="00000000" w:rsidDel="00000000" w:rsidP="00000000" w:rsidRDefault="00000000" w:rsidRPr="00000000" w14:paraId="00000008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MLO-1.1.3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9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Comprehension of Islam as a universal, perfect, applicable, equal, and unchangeable deen revealed by Allah.</w:t>
      </w:r>
    </w:p>
    <w:p w:rsidR="00000000" w:rsidDel="00000000" w:rsidP="00000000" w:rsidRDefault="00000000" w:rsidRPr="00000000" w14:paraId="0000000A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MLO-1.1.4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0B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Comprehension of Tauheed, including its literal and technical meanings, importance, and presentation in the Quran.</w:t>
      </w:r>
    </w:p>
    <w:p w:rsidR="00000000" w:rsidDel="00000000" w:rsidP="00000000" w:rsidRDefault="00000000" w:rsidRPr="00000000" w14:paraId="0000000C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MLO-1.1.5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0D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Understanding ‘La ilaha illallah’ as affirming the oneness of God, with none worthy of worship except Allah.</w:t>
      </w:r>
    </w:p>
    <w:p w:rsidR="00000000" w:rsidDel="00000000" w:rsidP="00000000" w:rsidRDefault="00000000" w:rsidRPr="00000000" w14:paraId="0000000E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MLO-1.1.6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0F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Recognizing the three types of Tawheed and identifying shirk as the unforgivable sin.</w:t>
      </w:r>
    </w:p>
    <w:p w:rsidR="00000000" w:rsidDel="00000000" w:rsidP="00000000" w:rsidRDefault="00000000" w:rsidRPr="00000000" w14:paraId="00000010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MLO-1.1.7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11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bookmarkStart w:colFirst="0" w:colLast="0" w:name="_heading=h.d3417quu10rc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Exploring the effects of belief in La ilaha illallah on human character, behavior, and life, including self-respect, humility, righteousness, perseverance, and hope.</w:t>
      </w:r>
    </w:p>
    <w:sectPr>
      <w:footerReference r:id="rId7" w:type="default"/>
      <w:pgSz w:h="15840" w:w="12240" w:orient="portrait"/>
      <w:pgMar w:bottom="648" w:top="648" w:left="864" w:right="864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7"/>
        <w:szCs w:val="17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HUM112 Islamic Studies | MLU </w:t>
    </w:r>
    <w:r w:rsidDel="00000000" w:rsidR="00000000" w:rsidRPr="00000000">
      <w:rPr>
        <w:i w:val="1"/>
        <w:iCs w:val="1"/>
        <w:sz w:val="14"/>
        <w:szCs w:val="14"/>
        <w:rtl w:val="0"/>
      </w:rPr>
      <w:t xml:space="preserve">Overview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17"/>
        <w:szCs w:val="17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19"/>
      <w:szCs w:val="19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b w:val="1"/>
      <w:bCs w:val="1"/>
      <w:color w:val="17365d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tb3ISCHxYBfapI7aKaG8RlzZOw==">CgMxLjAyDmguZDM0MTdxdXUxMHJjOAByITFlRXdyczJtek5jbXpYVGNYb2xmV2swN1hWbHF3NUNWZQ==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2026-08-20T14:12:00Z</dcterms:created>
  <dc:creator>python-docx</dc:creator>
</cp:coreProperties>
</file>