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5395F3E4" w:rsidR="00112B73" w:rsidRPr="00711930" w:rsidRDefault="00524EF4">
      <w:pPr>
        <w:pStyle w:val="Title"/>
        <w:spacing w:after="60"/>
        <w:jc w:val="center"/>
        <w:rPr>
          <w:rFonts w:ascii="Times New Roman" w:hAnsi="Times New Roman" w:cs="Times New Roman"/>
        </w:rPr>
      </w:pPr>
      <w:r w:rsidRPr="00711930">
        <w:rPr>
          <w:rFonts w:ascii="Times New Roman" w:hAnsi="Times New Roman" w:cs="Times New Roman"/>
        </w:rPr>
        <w:t>MLU-</w:t>
      </w:r>
      <w:r w:rsidR="00711930" w:rsidRPr="00711930">
        <w:rPr>
          <w:rFonts w:ascii="Times New Roman" w:hAnsi="Times New Roman" w:cs="Times New Roman"/>
        </w:rPr>
        <w:t>6</w:t>
      </w:r>
      <w:r w:rsidRPr="00711930">
        <w:rPr>
          <w:rFonts w:ascii="Times New Roman" w:hAnsi="Times New Roman" w:cs="Times New Roman"/>
        </w:rPr>
        <w:t>.</w:t>
      </w:r>
      <w:r w:rsidR="00B83B10" w:rsidRPr="00711930">
        <w:rPr>
          <w:rFonts w:ascii="Times New Roman" w:hAnsi="Times New Roman" w:cs="Times New Roman"/>
        </w:rPr>
        <w:t>1</w:t>
      </w:r>
      <w:r w:rsidRPr="00711930">
        <w:rPr>
          <w:rFonts w:ascii="Times New Roman" w:hAnsi="Times New Roman" w:cs="Times New Roman"/>
        </w:rPr>
        <w:t xml:space="preserve"> — </w:t>
      </w:r>
      <w:proofErr w:type="spellStart"/>
      <w:r w:rsidR="00711930" w:rsidRPr="00711930">
        <w:rPr>
          <w:rFonts w:ascii="Times New Roman" w:hAnsi="Times New Roman" w:cs="Times New Roman"/>
        </w:rPr>
        <w:t>Deen</w:t>
      </w:r>
      <w:proofErr w:type="spellEnd"/>
      <w:r w:rsidR="00711930" w:rsidRPr="00711930">
        <w:rPr>
          <w:rFonts w:ascii="Times New Roman" w:hAnsi="Times New Roman" w:cs="Times New Roman"/>
        </w:rPr>
        <w:t xml:space="preserve"> and </w:t>
      </w:r>
      <w:proofErr w:type="spellStart"/>
      <w:r w:rsidR="00711930" w:rsidRPr="00711930">
        <w:rPr>
          <w:rFonts w:ascii="Times New Roman" w:hAnsi="Times New Roman" w:cs="Times New Roman"/>
        </w:rPr>
        <w:t>Shariah</w:t>
      </w:r>
      <w:proofErr w:type="spellEnd"/>
    </w:p>
    <w:p w14:paraId="2B87748B" w14:textId="77777777" w:rsidR="00813C0B" w:rsidRPr="00464762" w:rsidRDefault="00813C0B" w:rsidP="00813C0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  <w:r w:rsidRPr="00BE3308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0A07329C" w14:textId="77777777" w:rsidR="00813C0B" w:rsidRPr="00813C0B" w:rsidRDefault="00813C0B" w:rsidP="00813C0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proofErr w:type="spellStart"/>
      <w:r w:rsidRPr="00813C0B">
        <w:rPr>
          <w:color w:val="0D0D0D"/>
        </w:rPr>
        <w:t>Deen</w:t>
      </w:r>
      <w:proofErr w:type="spellEnd"/>
      <w:r w:rsidRPr="00813C0B">
        <w:rPr>
          <w:color w:val="0D0D0D"/>
        </w:rPr>
        <w:t xml:space="preserve"> is a complete way of life that includes belief, worship, morality, obedience, submission, and accountability to Allah (SWT).</w:t>
      </w:r>
    </w:p>
    <w:p w14:paraId="512D4198" w14:textId="77777777" w:rsidR="00813C0B" w:rsidRPr="00813C0B" w:rsidRDefault="00813C0B" w:rsidP="00813C0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proofErr w:type="spellStart"/>
      <w:r w:rsidRPr="00813C0B">
        <w:rPr>
          <w:color w:val="0D0D0D"/>
        </w:rPr>
        <w:t>Shariah</w:t>
      </w:r>
      <w:proofErr w:type="spellEnd"/>
      <w:r w:rsidRPr="00813C0B">
        <w:rPr>
          <w:color w:val="0D0D0D"/>
        </w:rPr>
        <w:t xml:space="preserve"> is the divinely ordained path and system of laws that guides Muslims in their beliefs, worship, personal conduct, and social life.</w:t>
      </w:r>
    </w:p>
    <w:p w14:paraId="503A4387" w14:textId="77777777" w:rsidR="00813C0B" w:rsidRPr="00813C0B" w:rsidRDefault="00813C0B" w:rsidP="00813C0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proofErr w:type="spellStart"/>
      <w:r w:rsidRPr="00813C0B">
        <w:rPr>
          <w:color w:val="0D0D0D"/>
        </w:rPr>
        <w:t>Deen</w:t>
      </w:r>
      <w:proofErr w:type="spellEnd"/>
      <w:r w:rsidRPr="00813C0B">
        <w:rPr>
          <w:color w:val="0D0D0D"/>
        </w:rPr>
        <w:t xml:space="preserve"> remained fundamentally the same for all Prophets (AS), centered on belief in and submission to One Allah, while </w:t>
      </w:r>
      <w:proofErr w:type="spellStart"/>
      <w:r w:rsidRPr="00813C0B">
        <w:rPr>
          <w:color w:val="0D0D0D"/>
        </w:rPr>
        <w:t>Shariah</w:t>
      </w:r>
      <w:proofErr w:type="spellEnd"/>
      <w:r w:rsidRPr="00813C0B">
        <w:rPr>
          <w:color w:val="0D0D0D"/>
        </w:rPr>
        <w:t xml:space="preserve"> differed in some laws and practices according to the time and people.</w:t>
      </w:r>
    </w:p>
    <w:p w14:paraId="663D6DAE" w14:textId="77777777" w:rsidR="00813C0B" w:rsidRPr="00813C0B" w:rsidRDefault="00813C0B" w:rsidP="00813C0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3C0B">
        <w:rPr>
          <w:color w:val="0D0D0D"/>
        </w:rPr>
        <w:t xml:space="preserve">The five categories of actions in </w:t>
      </w:r>
      <w:proofErr w:type="spellStart"/>
      <w:r w:rsidRPr="00813C0B">
        <w:rPr>
          <w:color w:val="0D0D0D"/>
        </w:rPr>
        <w:t>Shariah</w:t>
      </w:r>
      <w:proofErr w:type="spellEnd"/>
      <w:r w:rsidRPr="00813C0B">
        <w:rPr>
          <w:color w:val="0D0D0D"/>
        </w:rPr>
        <w:t xml:space="preserve"> are: </w:t>
      </w:r>
      <w:proofErr w:type="spellStart"/>
      <w:r w:rsidRPr="00813C0B">
        <w:rPr>
          <w:color w:val="0D0D0D"/>
        </w:rPr>
        <w:t>Fard</w:t>
      </w:r>
      <w:proofErr w:type="spellEnd"/>
      <w:r w:rsidRPr="00813C0B">
        <w:rPr>
          <w:color w:val="0D0D0D"/>
        </w:rPr>
        <w:t>/</w:t>
      </w:r>
      <w:proofErr w:type="spellStart"/>
      <w:r w:rsidRPr="00813C0B">
        <w:rPr>
          <w:color w:val="0D0D0D"/>
        </w:rPr>
        <w:t>Wajib</w:t>
      </w:r>
      <w:proofErr w:type="spellEnd"/>
      <w:r w:rsidRPr="00813C0B">
        <w:rPr>
          <w:color w:val="0D0D0D"/>
        </w:rPr>
        <w:t xml:space="preserve"> (obligatory), </w:t>
      </w:r>
      <w:proofErr w:type="spellStart"/>
      <w:r w:rsidRPr="00813C0B">
        <w:rPr>
          <w:color w:val="0D0D0D"/>
        </w:rPr>
        <w:t>Mustahabb</w:t>
      </w:r>
      <w:proofErr w:type="spellEnd"/>
      <w:r w:rsidRPr="00813C0B">
        <w:rPr>
          <w:color w:val="0D0D0D"/>
        </w:rPr>
        <w:t xml:space="preserve"> (recommended), </w:t>
      </w:r>
      <w:proofErr w:type="spellStart"/>
      <w:r w:rsidRPr="00813C0B">
        <w:rPr>
          <w:color w:val="0D0D0D"/>
        </w:rPr>
        <w:t>Mubah</w:t>
      </w:r>
      <w:proofErr w:type="spellEnd"/>
      <w:r w:rsidRPr="00813C0B">
        <w:rPr>
          <w:color w:val="0D0D0D"/>
        </w:rPr>
        <w:t xml:space="preserve"> (permissible), </w:t>
      </w:r>
      <w:proofErr w:type="spellStart"/>
      <w:r w:rsidRPr="00813C0B">
        <w:rPr>
          <w:color w:val="0D0D0D"/>
        </w:rPr>
        <w:t>Makruh</w:t>
      </w:r>
      <w:proofErr w:type="spellEnd"/>
      <w:r w:rsidRPr="00813C0B">
        <w:rPr>
          <w:color w:val="0D0D0D"/>
        </w:rPr>
        <w:t xml:space="preserve"> (discouraged), and Haram (forbidden).</w:t>
      </w:r>
    </w:p>
    <w:p w14:paraId="5DA58BAB" w14:textId="77777777" w:rsidR="00813C0B" w:rsidRDefault="00813C0B" w:rsidP="00813C0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3C0B">
        <w:rPr>
          <w:color w:val="0D0D0D"/>
        </w:rPr>
        <w:t xml:space="preserve">The primary sources of </w:t>
      </w:r>
      <w:proofErr w:type="spellStart"/>
      <w:r w:rsidRPr="00813C0B">
        <w:rPr>
          <w:color w:val="0D0D0D"/>
        </w:rPr>
        <w:t>Shariah</w:t>
      </w:r>
      <w:proofErr w:type="spellEnd"/>
      <w:r w:rsidRPr="00813C0B">
        <w:rPr>
          <w:color w:val="0D0D0D"/>
        </w:rPr>
        <w:t xml:space="preserve"> are the Quran and </w:t>
      </w:r>
      <w:proofErr w:type="spellStart"/>
      <w:r w:rsidRPr="00813C0B">
        <w:rPr>
          <w:color w:val="0D0D0D"/>
        </w:rPr>
        <w:t>Sunnah</w:t>
      </w:r>
      <w:proofErr w:type="spellEnd"/>
      <w:r w:rsidRPr="00813C0B">
        <w:rPr>
          <w:color w:val="0D0D0D"/>
        </w:rPr>
        <w:t xml:space="preserve">, while </w:t>
      </w:r>
      <w:proofErr w:type="spellStart"/>
      <w:r w:rsidRPr="00813C0B">
        <w:rPr>
          <w:color w:val="0D0D0D"/>
        </w:rPr>
        <w:t>Ijma</w:t>
      </w:r>
      <w:proofErr w:type="spellEnd"/>
      <w:r w:rsidRPr="00813C0B">
        <w:rPr>
          <w:color w:val="0D0D0D"/>
        </w:rPr>
        <w:t xml:space="preserve"> (consensus), </w:t>
      </w:r>
      <w:proofErr w:type="spellStart"/>
      <w:r w:rsidRPr="00813C0B">
        <w:rPr>
          <w:color w:val="0D0D0D"/>
        </w:rPr>
        <w:t>Qiyas</w:t>
      </w:r>
      <w:proofErr w:type="spellEnd"/>
      <w:r w:rsidRPr="00813C0B">
        <w:rPr>
          <w:color w:val="0D0D0D"/>
        </w:rPr>
        <w:t xml:space="preserve"> (analogy), and </w:t>
      </w:r>
      <w:proofErr w:type="spellStart"/>
      <w:r w:rsidRPr="00813C0B">
        <w:rPr>
          <w:color w:val="0D0D0D"/>
        </w:rPr>
        <w:t>Ijtihad</w:t>
      </w:r>
      <w:proofErr w:type="spellEnd"/>
      <w:r w:rsidRPr="00813C0B">
        <w:rPr>
          <w:color w:val="0D0D0D"/>
        </w:rPr>
        <w:t xml:space="preserve"> (independent reasoning) are secondary/dependent sources.</w:t>
      </w:r>
    </w:p>
    <w:p w14:paraId="516B96E1" w14:textId="2C65546F" w:rsidR="00813C0B" w:rsidRPr="00813C0B" w:rsidRDefault="00813C0B" w:rsidP="00813C0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>
        <w:t>Muhammad</w:t>
      </w:r>
      <w:r>
        <w:rPr>
          <w:spacing w:val="-4"/>
        </w:rPr>
        <w:t xml:space="preserve"> </w:t>
      </w:r>
      <w:r>
        <w:t>(PBUH)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regarded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Prophet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Islam</w:t>
      </w:r>
      <w:r>
        <w:rPr>
          <w:spacing w:val="-4"/>
        </w:rPr>
        <w:t xml:space="preserve"> </w:t>
      </w:r>
      <w:r>
        <w:t>(</w:t>
      </w:r>
      <w:proofErr w:type="spellStart"/>
      <w:r>
        <w:t>Khatam</w:t>
      </w:r>
      <w:proofErr w:type="spellEnd"/>
      <w:r>
        <w:rPr>
          <w:spacing w:val="-4"/>
        </w:rPr>
        <w:t xml:space="preserve"> </w:t>
      </w:r>
      <w:r>
        <w:t>al-</w:t>
      </w:r>
      <w:proofErr w:type="spellStart"/>
      <w:r>
        <w:t>Anbiya</w:t>
      </w:r>
      <w:proofErr w:type="spellEnd"/>
      <w:r>
        <w:t>),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 xml:space="preserve">signifies that his teachings and the </w:t>
      </w:r>
      <w:proofErr w:type="spellStart"/>
      <w:r>
        <w:t>Shariah</w:t>
      </w:r>
      <w:proofErr w:type="spellEnd"/>
      <w:r>
        <w:t xml:space="preserve"> he</w:t>
      </w:r>
      <w:r>
        <w:t xml:space="preserve"> (PBUH)</w:t>
      </w:r>
      <w:bookmarkStart w:id="0" w:name="_GoBack"/>
      <w:bookmarkEnd w:id="0"/>
      <w:r>
        <w:t xml:space="preserve"> established are final and universal.</w:t>
      </w:r>
    </w:p>
    <w:p w14:paraId="32EC08B2" w14:textId="77777777" w:rsidR="00813C0B" w:rsidRPr="00813C0B" w:rsidRDefault="00813C0B" w:rsidP="00813C0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3C0B">
        <w:rPr>
          <w:color w:val="0D0D0D"/>
        </w:rPr>
        <w:t xml:space="preserve">The </w:t>
      </w:r>
      <w:proofErr w:type="spellStart"/>
      <w:r w:rsidRPr="00813C0B">
        <w:rPr>
          <w:color w:val="0D0D0D"/>
        </w:rPr>
        <w:t>Maqasid</w:t>
      </w:r>
      <w:proofErr w:type="spellEnd"/>
      <w:r w:rsidRPr="00813C0B">
        <w:rPr>
          <w:color w:val="0D0D0D"/>
        </w:rPr>
        <w:t xml:space="preserve"> al-</w:t>
      </w:r>
      <w:proofErr w:type="spellStart"/>
      <w:r w:rsidRPr="00813C0B">
        <w:rPr>
          <w:color w:val="0D0D0D"/>
        </w:rPr>
        <w:t>Shariah</w:t>
      </w:r>
      <w:proofErr w:type="spellEnd"/>
      <w:r w:rsidRPr="00813C0B">
        <w:rPr>
          <w:color w:val="0D0D0D"/>
        </w:rPr>
        <w:t xml:space="preserve"> aim to protect five essential things: religion, life, intellect, lineage, and property.</w:t>
      </w:r>
    </w:p>
    <w:p w14:paraId="24166BE2" w14:textId="77777777" w:rsidR="00813C0B" w:rsidRPr="00813C0B" w:rsidRDefault="00813C0B" w:rsidP="00813C0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3C0B">
        <w:rPr>
          <w:color w:val="0D0D0D"/>
        </w:rPr>
        <w:t xml:space="preserve">The Quran is the first and most important source of </w:t>
      </w:r>
      <w:proofErr w:type="spellStart"/>
      <w:r w:rsidRPr="00813C0B">
        <w:rPr>
          <w:color w:val="0D0D0D"/>
        </w:rPr>
        <w:t>Shariah</w:t>
      </w:r>
      <w:proofErr w:type="spellEnd"/>
      <w:r w:rsidRPr="00813C0B">
        <w:rPr>
          <w:color w:val="0D0D0D"/>
        </w:rPr>
        <w:t>. It provides guidance and principles for spiritual, moral, social, legal, and economic aspects of life.</w:t>
      </w:r>
    </w:p>
    <w:p w14:paraId="0B358111" w14:textId="77777777" w:rsidR="00813C0B" w:rsidRPr="00813C0B" w:rsidRDefault="00813C0B" w:rsidP="00813C0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813C0B">
        <w:rPr>
          <w:color w:val="0D0D0D"/>
        </w:rPr>
        <w:t xml:space="preserve">The main purpose of </w:t>
      </w:r>
      <w:proofErr w:type="spellStart"/>
      <w:r w:rsidRPr="00813C0B">
        <w:rPr>
          <w:color w:val="0D0D0D"/>
        </w:rPr>
        <w:t>Shariah</w:t>
      </w:r>
      <w:proofErr w:type="spellEnd"/>
      <w:r w:rsidRPr="00813C0B">
        <w:rPr>
          <w:color w:val="0D0D0D"/>
        </w:rPr>
        <w:t xml:space="preserve"> is to guide human beings toward justice, morality, welfare, and success in this life and the Hereafter by helping them live according to the will of Allah (SWT).</w:t>
      </w:r>
    </w:p>
    <w:p w14:paraId="4AA75C65" w14:textId="44772CED" w:rsidR="00112B73" w:rsidRPr="00813C0B" w:rsidRDefault="00112B73" w:rsidP="00813C0B">
      <w:pPr>
        <w:pStyle w:val="Heading2"/>
        <w:spacing w:before="40" w:after="1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sectPr w:rsidR="00112B73" w:rsidRPr="00813C0B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C8491" w14:textId="77777777" w:rsidR="0076191C" w:rsidRDefault="0076191C">
      <w:pPr>
        <w:spacing w:after="0" w:line="240" w:lineRule="auto"/>
      </w:pPr>
      <w:r>
        <w:separator/>
      </w:r>
    </w:p>
  </w:endnote>
  <w:endnote w:type="continuationSeparator" w:id="0">
    <w:p w14:paraId="0CED980F" w14:textId="77777777" w:rsidR="0076191C" w:rsidRDefault="00761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5B19A" w14:textId="77777777" w:rsidR="0076191C" w:rsidRDefault="0076191C">
      <w:pPr>
        <w:spacing w:after="0" w:line="240" w:lineRule="auto"/>
      </w:pPr>
      <w:r>
        <w:separator/>
      </w:r>
    </w:p>
  </w:footnote>
  <w:footnote w:type="continuationSeparator" w:id="0">
    <w:p w14:paraId="4CA3D3F7" w14:textId="77777777" w:rsidR="0076191C" w:rsidRDefault="00761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21E41B5"/>
    <w:multiLevelType w:val="multilevel"/>
    <w:tmpl w:val="1876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A43DD5"/>
    <w:multiLevelType w:val="hybridMultilevel"/>
    <w:tmpl w:val="BB786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112B73"/>
    <w:rsid w:val="0015074B"/>
    <w:rsid w:val="0029639D"/>
    <w:rsid w:val="00326F90"/>
    <w:rsid w:val="003C3E27"/>
    <w:rsid w:val="005233B1"/>
    <w:rsid w:val="00524EF4"/>
    <w:rsid w:val="00540CE2"/>
    <w:rsid w:val="005A074E"/>
    <w:rsid w:val="006D06A4"/>
    <w:rsid w:val="00711930"/>
    <w:rsid w:val="0076191C"/>
    <w:rsid w:val="00771D80"/>
    <w:rsid w:val="007869BD"/>
    <w:rsid w:val="00813C0B"/>
    <w:rsid w:val="008E65F0"/>
    <w:rsid w:val="00936BDA"/>
    <w:rsid w:val="00982141"/>
    <w:rsid w:val="009C0465"/>
    <w:rsid w:val="00A93134"/>
    <w:rsid w:val="00AA1D8D"/>
    <w:rsid w:val="00B47730"/>
    <w:rsid w:val="00B82D9A"/>
    <w:rsid w:val="00B83B10"/>
    <w:rsid w:val="00CB0664"/>
    <w:rsid w:val="00E504F5"/>
    <w:rsid w:val="00F750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13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22D5D9-4B41-4FB2-BE69-80805F4A6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2026-08-24T08:21:00Z</dcterms:created>
  <dcterms:modified xsi:type="dcterms:W3CDTF">2026-08-24T08:25:00Z</dcterms:modified>
  <cp:category/>
</cp:coreProperties>
</file>