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60" w:lineRule="auto"/>
        <w:jc w:val="center"/>
        <w:rPr>
          <w:rFonts w:ascii="Times New Roman" w:cs="Times New Roman" w:eastAsia="Times New Roman" w:hAnsi="Times New Roman"/>
        </w:rPr>
      </w:pPr>
      <w:bookmarkStart w:colFirst="0" w:colLast="0" w:name="_heading=h.1uw2vi3wezl7" w:id="0"/>
      <w:bookmarkEnd w:id="0"/>
      <w:r w:rsidDel="00000000" w:rsidR="00000000" w:rsidRPr="00000000">
        <w:rPr>
          <w:rFonts w:ascii="Times New Roman" w:cs="Times New Roman" w:eastAsia="Times New Roman" w:hAnsi="Times New Roman"/>
          <w:rtl w:val="0"/>
        </w:rPr>
        <w:t xml:space="preserve">MLU-7.1 — Sunnah, Ijma, Qiyas and Ijtihad</w:t>
      </w:r>
    </w:p>
    <w:p w:rsidR="00000000" w:rsidDel="00000000" w:rsidP="00000000" w:rsidRDefault="00000000" w:rsidRPr="00000000" w14:paraId="00000002">
      <w:pPr>
        <w:spacing w:after="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Brief Overview.</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This MLU focuses on the primary and secondary sources of Islamic law, with particular emphasis on Sunnah, Ijma, Qiyas, and Ijtihad. It develops learners’ understanding of how Islamic legal rulings are established, interpreted, and applied, beginning with the authority of the Qur’an and Sunnah and progressing to the methods used by Islamic scholars to address legal matters.</w:t>
      </w:r>
    </w:p>
    <w:p w:rsidR="00000000" w:rsidDel="00000000" w:rsidP="00000000" w:rsidRDefault="00000000" w:rsidRPr="00000000" w14:paraId="00000003">
      <w:pPr>
        <w:spacing w:after="8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pStyle w:val="Heading2"/>
        <w:spacing w:after="10" w:before="40" w:lineRule="auto"/>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MLO-7.1.1</w:t>
        <w:tab/>
        <w:tab/>
      </w:r>
    </w:p>
    <w:p w:rsidR="00000000" w:rsidDel="00000000" w:rsidP="00000000" w:rsidRDefault="00000000" w:rsidRPr="00000000" w14:paraId="00000005">
      <w:pPr>
        <w:pStyle w:val="Heading2"/>
        <w:spacing w:after="10" w:before="4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Understanding Sunnah (literal and technical meanings) and explain its role as a source of Shariah in relation to the Qur’an.</w:t>
      </w:r>
    </w:p>
    <w:p w:rsidR="00000000" w:rsidDel="00000000" w:rsidP="00000000" w:rsidRDefault="00000000" w:rsidRPr="00000000" w14:paraId="00000006">
      <w:pPr>
        <w:pStyle w:val="Heading2"/>
        <w:spacing w:after="10" w:before="40" w:lineRule="auto"/>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MLO-7.1.2</w:t>
        <w:tab/>
        <w:tab/>
      </w:r>
    </w:p>
    <w:p w:rsidR="00000000" w:rsidDel="00000000" w:rsidP="00000000" w:rsidRDefault="00000000" w:rsidRPr="00000000" w14:paraId="00000007">
      <w:pPr>
        <w:pStyle w:val="Heading2"/>
        <w:spacing w:after="10" w:before="4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Recognizing the Qur’an and Sunnah as the primary sources of Islamic law and explaining the obligation of obedience to Allah and His Messenger as stated in the Qur’an.</w:t>
      </w:r>
    </w:p>
    <w:p w:rsidR="00000000" w:rsidDel="00000000" w:rsidP="00000000" w:rsidRDefault="00000000" w:rsidRPr="00000000" w14:paraId="00000008">
      <w:pPr>
        <w:pStyle w:val="Heading2"/>
        <w:spacing w:after="10" w:before="40" w:lineRule="auto"/>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MLO-7.1.3</w:t>
        <w:tab/>
        <w:tab/>
      </w:r>
    </w:p>
    <w:p w:rsidR="00000000" w:rsidDel="00000000" w:rsidP="00000000" w:rsidRDefault="00000000" w:rsidRPr="00000000" w14:paraId="00000009">
      <w:pPr>
        <w:pStyle w:val="Heading2"/>
        <w:spacing w:after="10" w:before="4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Identifying the literal and technical meanings of Ijma and explaining its significance and conditions as a source of Islamic law.</w:t>
      </w:r>
    </w:p>
    <w:p w:rsidR="00000000" w:rsidDel="00000000" w:rsidP="00000000" w:rsidRDefault="00000000" w:rsidRPr="00000000" w14:paraId="0000000A">
      <w:pPr>
        <w:pStyle w:val="Heading2"/>
        <w:spacing w:after="10" w:before="40" w:lineRule="auto"/>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MLO-7.1.4</w:t>
        <w:tab/>
        <w:tab/>
      </w:r>
    </w:p>
    <w:p w:rsidR="00000000" w:rsidDel="00000000" w:rsidP="00000000" w:rsidRDefault="00000000" w:rsidRPr="00000000" w14:paraId="0000000B">
      <w:pPr>
        <w:pStyle w:val="Heading2"/>
        <w:spacing w:after="10" w:before="4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Recognizing examples of Ijma and distinguishing between its explicit and silent types.</w:t>
      </w:r>
    </w:p>
    <w:p w:rsidR="00000000" w:rsidDel="00000000" w:rsidP="00000000" w:rsidRDefault="00000000" w:rsidRPr="00000000" w14:paraId="0000000C">
      <w:pPr>
        <w:pStyle w:val="Heading2"/>
        <w:spacing w:after="10" w:before="40" w:lineRule="auto"/>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MLO-7.1.5</w:t>
        <w:tab/>
        <w:tab/>
      </w:r>
    </w:p>
    <w:p w:rsidR="00000000" w:rsidDel="00000000" w:rsidP="00000000" w:rsidRDefault="00000000" w:rsidRPr="00000000" w14:paraId="0000000D">
      <w:pPr>
        <w:pStyle w:val="Heading2"/>
        <w:spacing w:after="10" w:before="4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Explaining the concept of Qiyas, its authority, and the conditions for applying analogy in Islamic law.</w:t>
      </w:r>
    </w:p>
    <w:p w:rsidR="00000000" w:rsidDel="00000000" w:rsidP="00000000" w:rsidRDefault="00000000" w:rsidRPr="00000000" w14:paraId="0000000E">
      <w:pPr>
        <w:pStyle w:val="Heading2"/>
        <w:spacing w:after="10" w:before="40" w:lineRule="auto"/>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MLO-7.1.6</w:t>
        <w:tab/>
        <w:tab/>
      </w:r>
    </w:p>
    <w:p w:rsidR="00000000" w:rsidDel="00000000" w:rsidP="00000000" w:rsidRDefault="00000000" w:rsidRPr="00000000" w14:paraId="0000000F">
      <w:pPr>
        <w:pStyle w:val="Heading2"/>
        <w:spacing w:after="10" w:before="4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Understanding the conditions and pillars of Qiyas to determine when and how analogy is applied in Islamic law.</w:t>
      </w:r>
    </w:p>
    <w:p w:rsidR="00000000" w:rsidDel="00000000" w:rsidP="00000000" w:rsidRDefault="00000000" w:rsidRPr="00000000" w14:paraId="00000010">
      <w:pPr>
        <w:pStyle w:val="Heading2"/>
        <w:spacing w:after="10" w:before="40" w:lineRule="auto"/>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MLO-7.1.7</w:t>
        <w:tab/>
        <w:tab/>
      </w:r>
    </w:p>
    <w:p w:rsidR="00000000" w:rsidDel="00000000" w:rsidP="00000000" w:rsidRDefault="00000000" w:rsidRPr="00000000" w14:paraId="00000011">
      <w:pPr>
        <w:pStyle w:val="Heading2"/>
        <w:spacing w:after="10" w:before="4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Exploring the concept of Ijtihad and the role of a Mujtahid in deriving Islamic legal rulings from primary and secondary sources.</w:t>
      </w:r>
    </w:p>
    <w:p w:rsidR="00000000" w:rsidDel="00000000" w:rsidP="00000000" w:rsidRDefault="00000000" w:rsidRPr="00000000" w14:paraId="00000012">
      <w:pPr>
        <w:pStyle w:val="Heading2"/>
        <w:spacing w:after="10" w:before="40" w:lineRule="auto"/>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MLO-7.1.8</w:t>
        <w:tab/>
        <w:tab/>
      </w:r>
    </w:p>
    <w:p w:rsidR="00000000" w:rsidDel="00000000" w:rsidP="00000000" w:rsidRDefault="00000000" w:rsidRPr="00000000" w14:paraId="00000013">
      <w:pPr>
        <w:pStyle w:val="Heading2"/>
        <w:spacing w:after="10" w:before="4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Understanding the conditions, examples, and patterns of Ijtihad to understand how Islamic legal rulings are derived and applied.</w:t>
      </w:r>
    </w:p>
    <w:sectPr>
      <w:footerReference r:id="rId7" w:type="default"/>
      <w:pgSz w:h="15840" w:w="12240" w:orient="portrait"/>
      <w:pgMar w:bottom="648" w:top="648" w:left="864" w:right="864"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17"/>
        <w:szCs w:val="17"/>
        <w:u w:val="none"/>
        <w:shd w:fill="auto" w:val="clear"/>
        <w:vertAlign w:val="baseline"/>
      </w:rPr>
    </w:pPr>
    <w:r w:rsidDel="00000000" w:rsidR="00000000" w:rsidRPr="00000000">
      <w:rPr>
        <w:rFonts w:ascii="Aptos" w:cs="Aptos" w:eastAsia="Aptos" w:hAnsi="Aptos"/>
        <w:b w:val="0"/>
        <w:bCs w:val="0"/>
        <w:i w:val="1"/>
        <w:iCs w:val="1"/>
        <w:smallCaps w:val="0"/>
        <w:strike w:val="0"/>
        <w:color w:val="000000"/>
        <w:sz w:val="14"/>
        <w:szCs w:val="14"/>
        <w:u w:val="none"/>
        <w:shd w:fill="auto" w:val="clear"/>
        <w:vertAlign w:val="baseline"/>
        <w:rtl w:val="0"/>
      </w:rPr>
      <w:t xml:space="preserve">HUM112 Islamic Studies | MLU </w:t>
    </w:r>
    <w:r w:rsidDel="00000000" w:rsidR="00000000" w:rsidRPr="00000000">
      <w:rPr>
        <w:i w:val="1"/>
        <w:iCs w:val="1"/>
        <w:sz w:val="14"/>
        <w:szCs w:val="14"/>
        <w:rtl w:val="0"/>
      </w:rPr>
      <w:t xml:space="preserve">Overview</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17"/>
        <w:szCs w:val="17"/>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19"/>
      <w:szCs w:val="19"/>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b w:val="1"/>
      <w:bCs w:val="1"/>
      <w:color w:val="17365d"/>
      <w:sz w:val="32"/>
      <w:szCs w:val="3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SuWdf1jQDYBMBqcem9nauQ1PNA==">CgMxLjAyDmguMXV3MnZpM3dlemw3OAByITFOVlVIalljYzg3NzdOYy1DdWZsNThVMDNkbGxWR0ljeA==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2026-08-24T05:30:00Z</dcterms:created>
  <dc:creator>python-docx</dc:creator>
</cp:coreProperties>
</file>