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3AE86F" w14:textId="1545CCE1" w:rsidR="00112B73" w:rsidRPr="00711930" w:rsidRDefault="00524EF4">
      <w:pPr>
        <w:pStyle w:val="Title"/>
        <w:spacing w:after="60"/>
        <w:jc w:val="center"/>
        <w:rPr>
          <w:rFonts w:ascii="Times New Roman" w:hAnsi="Times New Roman" w:cs="Times New Roman"/>
        </w:rPr>
      </w:pPr>
      <w:r w:rsidRPr="00711930">
        <w:rPr>
          <w:rFonts w:ascii="Times New Roman" w:hAnsi="Times New Roman" w:cs="Times New Roman"/>
        </w:rPr>
        <w:t>MLU-</w:t>
      </w:r>
      <w:r w:rsidR="0008246C">
        <w:rPr>
          <w:rFonts w:ascii="Times New Roman" w:hAnsi="Times New Roman" w:cs="Times New Roman"/>
        </w:rPr>
        <w:t>7</w:t>
      </w:r>
      <w:r w:rsidRPr="00711930">
        <w:rPr>
          <w:rFonts w:ascii="Times New Roman" w:hAnsi="Times New Roman" w:cs="Times New Roman"/>
        </w:rPr>
        <w:t>.</w:t>
      </w:r>
      <w:r w:rsidR="00B83B10" w:rsidRPr="00711930">
        <w:rPr>
          <w:rFonts w:ascii="Times New Roman" w:hAnsi="Times New Roman" w:cs="Times New Roman"/>
        </w:rPr>
        <w:t>1</w:t>
      </w:r>
      <w:r w:rsidRPr="00711930">
        <w:rPr>
          <w:rFonts w:ascii="Times New Roman" w:hAnsi="Times New Roman" w:cs="Times New Roman"/>
        </w:rPr>
        <w:t xml:space="preserve"> — </w:t>
      </w:r>
      <w:proofErr w:type="spellStart"/>
      <w:r w:rsidR="0008246C">
        <w:rPr>
          <w:rFonts w:ascii="Times New Roman" w:hAnsi="Times New Roman" w:cs="Times New Roman"/>
        </w:rPr>
        <w:t>Sunnah</w:t>
      </w:r>
      <w:proofErr w:type="spellEnd"/>
      <w:r w:rsidR="0008246C">
        <w:rPr>
          <w:rFonts w:ascii="Times New Roman" w:hAnsi="Times New Roman" w:cs="Times New Roman"/>
        </w:rPr>
        <w:t xml:space="preserve">, </w:t>
      </w:r>
      <w:proofErr w:type="spellStart"/>
      <w:r w:rsidR="0008246C">
        <w:rPr>
          <w:rFonts w:ascii="Times New Roman" w:hAnsi="Times New Roman" w:cs="Times New Roman"/>
        </w:rPr>
        <w:t>Ijma</w:t>
      </w:r>
      <w:proofErr w:type="spellEnd"/>
      <w:r w:rsidR="0008246C">
        <w:rPr>
          <w:rFonts w:ascii="Times New Roman" w:hAnsi="Times New Roman" w:cs="Times New Roman"/>
        </w:rPr>
        <w:t xml:space="preserve">, </w:t>
      </w:r>
      <w:proofErr w:type="spellStart"/>
      <w:r w:rsidR="0008246C">
        <w:rPr>
          <w:rFonts w:ascii="Times New Roman" w:hAnsi="Times New Roman" w:cs="Times New Roman"/>
        </w:rPr>
        <w:t>Qiyas</w:t>
      </w:r>
      <w:proofErr w:type="spellEnd"/>
      <w:r w:rsidR="0008246C">
        <w:rPr>
          <w:rFonts w:ascii="Times New Roman" w:hAnsi="Times New Roman" w:cs="Times New Roman"/>
        </w:rPr>
        <w:t xml:space="preserve"> and </w:t>
      </w:r>
      <w:proofErr w:type="spellStart"/>
      <w:r w:rsidR="0008246C">
        <w:rPr>
          <w:rFonts w:ascii="Times New Roman" w:hAnsi="Times New Roman" w:cs="Times New Roman"/>
        </w:rPr>
        <w:t>Ijtihad</w:t>
      </w:r>
      <w:proofErr w:type="spellEnd"/>
    </w:p>
    <w:p w14:paraId="02AE670D" w14:textId="77777777" w:rsidR="00EA4DE6" w:rsidRPr="00464762" w:rsidRDefault="00EA4DE6" w:rsidP="00EA4DE6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sz w:val="27"/>
          <w:szCs w:val="27"/>
        </w:rPr>
      </w:pPr>
      <w:r w:rsidRPr="00BE3308">
        <w:rPr>
          <w:rFonts w:ascii="Times New Roman" w:hAnsi="Times New Roman" w:cs="Times New Roman"/>
          <w:b/>
          <w:sz w:val="28"/>
          <w:szCs w:val="28"/>
        </w:rPr>
        <w:t>Takeaway Points from the MLU</w:t>
      </w:r>
    </w:p>
    <w:p w14:paraId="6BCDD114" w14:textId="77777777" w:rsidR="0008246C" w:rsidRPr="003C3E27" w:rsidRDefault="0008246C">
      <w:pPr>
        <w:spacing w:after="80" w:line="240" w:lineRule="auto"/>
        <w:rPr>
          <w:rFonts w:ascii="Times New Roman" w:hAnsi="Times New Roman" w:cs="Times New Roman"/>
          <w:sz w:val="28"/>
          <w:szCs w:val="28"/>
        </w:rPr>
      </w:pPr>
    </w:p>
    <w:p w14:paraId="4AB4C189" w14:textId="77777777" w:rsidR="00EA4DE6" w:rsidRDefault="00EA4DE6" w:rsidP="00EA4DE6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D0D0D"/>
        </w:rPr>
      </w:pPr>
      <w:proofErr w:type="spellStart"/>
      <w:r>
        <w:rPr>
          <w:rFonts w:ascii="Segoe UI" w:hAnsi="Segoe UI" w:cs="Segoe UI"/>
          <w:color w:val="0D0D0D"/>
        </w:rPr>
        <w:t>Sunnah</w:t>
      </w:r>
      <w:proofErr w:type="spellEnd"/>
      <w:r>
        <w:rPr>
          <w:rFonts w:ascii="Segoe UI" w:hAnsi="Segoe UI" w:cs="Segoe UI"/>
          <w:color w:val="0D0D0D"/>
        </w:rPr>
        <w:t xml:space="preserve"> is the second primary source of </w:t>
      </w:r>
      <w:proofErr w:type="spellStart"/>
      <w:r>
        <w:rPr>
          <w:rFonts w:ascii="Segoe UI" w:hAnsi="Segoe UI" w:cs="Segoe UI"/>
          <w:color w:val="0D0D0D"/>
        </w:rPr>
        <w:t>Shariah</w:t>
      </w:r>
      <w:proofErr w:type="spellEnd"/>
      <w:r>
        <w:rPr>
          <w:rFonts w:ascii="Segoe UI" w:hAnsi="Segoe UI" w:cs="Segoe UI"/>
          <w:color w:val="0D0D0D"/>
        </w:rPr>
        <w:t xml:space="preserve"> after the Quran. It refers to the sayings, actions, and approvals of Prophet Muhammad (PBUH) and explains how </w:t>
      </w:r>
      <w:proofErr w:type="spellStart"/>
      <w:r>
        <w:rPr>
          <w:rFonts w:ascii="Segoe UI" w:hAnsi="Segoe UI" w:cs="Segoe UI"/>
          <w:color w:val="0D0D0D"/>
        </w:rPr>
        <w:t>Quranic</w:t>
      </w:r>
      <w:proofErr w:type="spellEnd"/>
      <w:r>
        <w:rPr>
          <w:rFonts w:ascii="Segoe UI" w:hAnsi="Segoe UI" w:cs="Segoe UI"/>
          <w:color w:val="0D0D0D"/>
        </w:rPr>
        <w:t xml:space="preserve"> teachings are practically applied.</w:t>
      </w:r>
    </w:p>
    <w:p w14:paraId="13717CE3" w14:textId="77777777" w:rsidR="00EA4DE6" w:rsidRDefault="00EA4DE6" w:rsidP="00EA4DE6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D0D0D"/>
        </w:rPr>
      </w:pPr>
      <w:proofErr w:type="spellStart"/>
      <w:r>
        <w:rPr>
          <w:rFonts w:ascii="Segoe UI" w:hAnsi="Segoe UI" w:cs="Segoe UI"/>
          <w:color w:val="0D0D0D"/>
        </w:rPr>
        <w:t>Ijma</w:t>
      </w:r>
      <w:proofErr w:type="spellEnd"/>
      <w:r>
        <w:rPr>
          <w:rFonts w:ascii="Segoe UI" w:hAnsi="Segoe UI" w:cs="Segoe UI"/>
          <w:color w:val="0D0D0D"/>
        </w:rPr>
        <w:t xml:space="preserve"> means the unanimous agreement of qualified Muslim jurists (</w:t>
      </w:r>
      <w:proofErr w:type="spellStart"/>
      <w:r>
        <w:rPr>
          <w:rFonts w:ascii="Segoe UI" w:hAnsi="Segoe UI" w:cs="Segoe UI"/>
          <w:color w:val="0D0D0D"/>
        </w:rPr>
        <w:t>mujtahids</w:t>
      </w:r>
      <w:proofErr w:type="spellEnd"/>
      <w:r>
        <w:rPr>
          <w:rFonts w:ascii="Segoe UI" w:hAnsi="Segoe UI" w:cs="Segoe UI"/>
          <w:color w:val="0D0D0D"/>
        </w:rPr>
        <w:t>) of a particular period on a matter of Islamic law. It helps address legal matters that require scholarly consensus.</w:t>
      </w:r>
    </w:p>
    <w:p w14:paraId="03D0DB52" w14:textId="77777777" w:rsidR="00EA4DE6" w:rsidRDefault="00EA4DE6" w:rsidP="00EA4DE6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 xml:space="preserve">For valid </w:t>
      </w:r>
      <w:proofErr w:type="spellStart"/>
      <w:r>
        <w:rPr>
          <w:rFonts w:ascii="Segoe UI" w:hAnsi="Segoe UI" w:cs="Segoe UI"/>
          <w:color w:val="0D0D0D"/>
        </w:rPr>
        <w:t>Ijma</w:t>
      </w:r>
      <w:proofErr w:type="spellEnd"/>
      <w:r>
        <w:rPr>
          <w:rFonts w:ascii="Segoe UI" w:hAnsi="Segoe UI" w:cs="Segoe UI"/>
          <w:color w:val="0D0D0D"/>
        </w:rPr>
        <w:t xml:space="preserve">, the agreement must be by qualified </w:t>
      </w:r>
      <w:proofErr w:type="spellStart"/>
      <w:r>
        <w:rPr>
          <w:rFonts w:ascii="Segoe UI" w:hAnsi="Segoe UI" w:cs="Segoe UI"/>
          <w:color w:val="0D0D0D"/>
        </w:rPr>
        <w:t>mujtahids</w:t>
      </w:r>
      <w:proofErr w:type="spellEnd"/>
      <w:r>
        <w:rPr>
          <w:rFonts w:ascii="Segoe UI" w:hAnsi="Segoe UI" w:cs="Segoe UI"/>
          <w:color w:val="0D0D0D"/>
        </w:rPr>
        <w:t>, be unanimous, occur after the death of the Prophet (PBUH), concern an Islamic legal matter, and be based on valid evidence (</w:t>
      </w:r>
      <w:proofErr w:type="spellStart"/>
      <w:r>
        <w:rPr>
          <w:rFonts w:ascii="Segoe UI" w:hAnsi="Segoe UI" w:cs="Segoe UI"/>
          <w:color w:val="0D0D0D"/>
        </w:rPr>
        <w:t>sanad</w:t>
      </w:r>
      <w:proofErr w:type="spellEnd"/>
      <w:r>
        <w:rPr>
          <w:rFonts w:ascii="Segoe UI" w:hAnsi="Segoe UI" w:cs="Segoe UI"/>
          <w:color w:val="0D0D0D"/>
        </w:rPr>
        <w:t>).</w:t>
      </w:r>
    </w:p>
    <w:p w14:paraId="7E7A9DDF" w14:textId="77777777" w:rsidR="00EA4DE6" w:rsidRDefault="00EA4DE6" w:rsidP="00EA4DE6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 xml:space="preserve">There are two main types of </w:t>
      </w:r>
      <w:proofErr w:type="spellStart"/>
      <w:r>
        <w:rPr>
          <w:rFonts w:ascii="Segoe UI" w:hAnsi="Segoe UI" w:cs="Segoe UI"/>
          <w:color w:val="0D0D0D"/>
        </w:rPr>
        <w:t>Ijma</w:t>
      </w:r>
      <w:proofErr w:type="spellEnd"/>
      <w:r>
        <w:rPr>
          <w:rFonts w:ascii="Segoe UI" w:hAnsi="Segoe UI" w:cs="Segoe UI"/>
          <w:color w:val="0D0D0D"/>
        </w:rPr>
        <w:t xml:space="preserve">: explicit </w:t>
      </w:r>
      <w:proofErr w:type="spellStart"/>
      <w:r>
        <w:rPr>
          <w:rFonts w:ascii="Segoe UI" w:hAnsi="Segoe UI" w:cs="Segoe UI"/>
          <w:color w:val="0D0D0D"/>
        </w:rPr>
        <w:t>Ijma</w:t>
      </w:r>
      <w:proofErr w:type="spellEnd"/>
      <w:r>
        <w:rPr>
          <w:rFonts w:ascii="Segoe UI" w:hAnsi="Segoe UI" w:cs="Segoe UI"/>
          <w:color w:val="0D0D0D"/>
        </w:rPr>
        <w:t xml:space="preserve"> (</w:t>
      </w:r>
      <w:proofErr w:type="spellStart"/>
      <w:r>
        <w:rPr>
          <w:rFonts w:ascii="Segoe UI" w:hAnsi="Segoe UI" w:cs="Segoe UI"/>
          <w:color w:val="0D0D0D"/>
        </w:rPr>
        <w:t>Ijma</w:t>
      </w:r>
      <w:proofErr w:type="spellEnd"/>
      <w:r>
        <w:rPr>
          <w:rFonts w:ascii="Segoe UI" w:hAnsi="Segoe UI" w:cs="Segoe UI"/>
          <w:color w:val="0D0D0D"/>
        </w:rPr>
        <w:t xml:space="preserve"> </w:t>
      </w:r>
      <w:proofErr w:type="spellStart"/>
      <w:r>
        <w:rPr>
          <w:rFonts w:ascii="Segoe UI" w:hAnsi="Segoe UI" w:cs="Segoe UI"/>
          <w:color w:val="0D0D0D"/>
        </w:rPr>
        <w:t>Sarih</w:t>
      </w:r>
      <w:proofErr w:type="spellEnd"/>
      <w:r>
        <w:rPr>
          <w:rFonts w:ascii="Segoe UI" w:hAnsi="Segoe UI" w:cs="Segoe UI"/>
          <w:color w:val="0D0D0D"/>
        </w:rPr>
        <w:t xml:space="preserve">), where scholars openly agree, and silent/tacit </w:t>
      </w:r>
      <w:proofErr w:type="spellStart"/>
      <w:r>
        <w:rPr>
          <w:rFonts w:ascii="Segoe UI" w:hAnsi="Segoe UI" w:cs="Segoe UI"/>
          <w:color w:val="0D0D0D"/>
        </w:rPr>
        <w:t>Ijma</w:t>
      </w:r>
      <w:proofErr w:type="spellEnd"/>
      <w:r>
        <w:rPr>
          <w:rFonts w:ascii="Segoe UI" w:hAnsi="Segoe UI" w:cs="Segoe UI"/>
          <w:color w:val="0D0D0D"/>
        </w:rPr>
        <w:t xml:space="preserve"> (</w:t>
      </w:r>
      <w:proofErr w:type="spellStart"/>
      <w:r>
        <w:rPr>
          <w:rFonts w:ascii="Segoe UI" w:hAnsi="Segoe UI" w:cs="Segoe UI"/>
          <w:color w:val="0D0D0D"/>
        </w:rPr>
        <w:t>Ijma</w:t>
      </w:r>
      <w:proofErr w:type="spellEnd"/>
      <w:r>
        <w:rPr>
          <w:rFonts w:ascii="Segoe UI" w:hAnsi="Segoe UI" w:cs="Segoe UI"/>
          <w:color w:val="0D0D0D"/>
        </w:rPr>
        <w:t xml:space="preserve"> </w:t>
      </w:r>
      <w:proofErr w:type="spellStart"/>
      <w:r>
        <w:rPr>
          <w:rFonts w:ascii="Segoe UI" w:hAnsi="Segoe UI" w:cs="Segoe UI"/>
          <w:color w:val="0D0D0D"/>
        </w:rPr>
        <w:t>Sukuti</w:t>
      </w:r>
      <w:proofErr w:type="spellEnd"/>
      <w:r>
        <w:rPr>
          <w:rFonts w:ascii="Segoe UI" w:hAnsi="Segoe UI" w:cs="Segoe UI"/>
          <w:color w:val="0D0D0D"/>
        </w:rPr>
        <w:t>), where scholars are informed of an opinion and do not object to it.</w:t>
      </w:r>
    </w:p>
    <w:p w14:paraId="41075FFC" w14:textId="77777777" w:rsidR="00EA4DE6" w:rsidRDefault="00EA4DE6" w:rsidP="00EA4DE6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D0D0D"/>
        </w:rPr>
      </w:pPr>
      <w:proofErr w:type="spellStart"/>
      <w:r>
        <w:rPr>
          <w:rFonts w:ascii="Segoe UI" w:hAnsi="Segoe UI" w:cs="Segoe UI"/>
          <w:color w:val="0D0D0D"/>
        </w:rPr>
        <w:t>Qiyas</w:t>
      </w:r>
      <w:proofErr w:type="spellEnd"/>
      <w:r>
        <w:rPr>
          <w:rFonts w:ascii="Segoe UI" w:hAnsi="Segoe UI" w:cs="Segoe UI"/>
          <w:color w:val="0D0D0D"/>
        </w:rPr>
        <w:t xml:space="preserve"> means analogy. It is used w</w:t>
      </w:r>
      <w:bookmarkStart w:id="0" w:name="_GoBack"/>
      <w:bookmarkEnd w:id="0"/>
      <w:r>
        <w:rPr>
          <w:rFonts w:ascii="Segoe UI" w:hAnsi="Segoe UI" w:cs="Segoe UI"/>
          <w:color w:val="0D0D0D"/>
        </w:rPr>
        <w:t xml:space="preserve">hen a new issue is not directly addressed by the Quran, </w:t>
      </w:r>
      <w:proofErr w:type="spellStart"/>
      <w:r>
        <w:rPr>
          <w:rFonts w:ascii="Segoe UI" w:hAnsi="Segoe UI" w:cs="Segoe UI"/>
          <w:color w:val="0D0D0D"/>
        </w:rPr>
        <w:t>Sunnah</w:t>
      </w:r>
      <w:proofErr w:type="spellEnd"/>
      <w:r>
        <w:rPr>
          <w:rFonts w:ascii="Segoe UI" w:hAnsi="Segoe UI" w:cs="Segoe UI"/>
          <w:color w:val="0D0D0D"/>
        </w:rPr>
        <w:t xml:space="preserve">, or </w:t>
      </w:r>
      <w:proofErr w:type="spellStart"/>
      <w:r>
        <w:rPr>
          <w:rFonts w:ascii="Segoe UI" w:hAnsi="Segoe UI" w:cs="Segoe UI"/>
          <w:color w:val="0D0D0D"/>
        </w:rPr>
        <w:t>Ijma</w:t>
      </w:r>
      <w:proofErr w:type="spellEnd"/>
      <w:r>
        <w:rPr>
          <w:rFonts w:ascii="Segoe UI" w:hAnsi="Segoe UI" w:cs="Segoe UI"/>
          <w:color w:val="0D0D0D"/>
        </w:rPr>
        <w:t>. A ruling from an original case is extended to a new case because both share the same effective cause (</w:t>
      </w:r>
      <w:proofErr w:type="spellStart"/>
      <w:r>
        <w:rPr>
          <w:rFonts w:ascii="Segoe UI" w:hAnsi="Segoe UI" w:cs="Segoe UI"/>
          <w:color w:val="0D0D0D"/>
        </w:rPr>
        <w:t>illah</w:t>
      </w:r>
      <w:proofErr w:type="spellEnd"/>
      <w:r>
        <w:rPr>
          <w:rFonts w:ascii="Segoe UI" w:hAnsi="Segoe UI" w:cs="Segoe UI"/>
          <w:color w:val="0D0D0D"/>
        </w:rPr>
        <w:t>).</w:t>
      </w:r>
    </w:p>
    <w:p w14:paraId="52FA16A5" w14:textId="77777777" w:rsidR="00EA4DE6" w:rsidRDefault="00EA4DE6" w:rsidP="00EA4DE6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 xml:space="preserve">The four pillars of </w:t>
      </w:r>
      <w:proofErr w:type="spellStart"/>
      <w:r>
        <w:rPr>
          <w:rFonts w:ascii="Segoe UI" w:hAnsi="Segoe UI" w:cs="Segoe UI"/>
          <w:color w:val="0D0D0D"/>
        </w:rPr>
        <w:t>Qiyas</w:t>
      </w:r>
      <w:proofErr w:type="spellEnd"/>
      <w:r>
        <w:rPr>
          <w:rFonts w:ascii="Segoe UI" w:hAnsi="Segoe UI" w:cs="Segoe UI"/>
          <w:color w:val="0D0D0D"/>
        </w:rPr>
        <w:t xml:space="preserve"> are the original case (</w:t>
      </w:r>
      <w:proofErr w:type="spellStart"/>
      <w:proofErr w:type="gramStart"/>
      <w:r>
        <w:rPr>
          <w:rFonts w:ascii="Segoe UI" w:hAnsi="Segoe UI" w:cs="Segoe UI"/>
          <w:color w:val="0D0D0D"/>
        </w:rPr>
        <w:t>asl</w:t>
      </w:r>
      <w:proofErr w:type="spellEnd"/>
      <w:proofErr w:type="gramEnd"/>
      <w:r>
        <w:rPr>
          <w:rFonts w:ascii="Segoe UI" w:hAnsi="Segoe UI" w:cs="Segoe UI"/>
          <w:color w:val="0D0D0D"/>
        </w:rPr>
        <w:t>), the new case (far'), the effective cause (</w:t>
      </w:r>
      <w:proofErr w:type="spellStart"/>
      <w:r>
        <w:rPr>
          <w:rFonts w:ascii="Segoe UI" w:hAnsi="Segoe UI" w:cs="Segoe UI"/>
          <w:color w:val="0D0D0D"/>
        </w:rPr>
        <w:t>illah</w:t>
      </w:r>
      <w:proofErr w:type="spellEnd"/>
      <w:r>
        <w:rPr>
          <w:rFonts w:ascii="Segoe UI" w:hAnsi="Segoe UI" w:cs="Segoe UI"/>
          <w:color w:val="0D0D0D"/>
        </w:rPr>
        <w:t>), and the original ruling (</w:t>
      </w:r>
      <w:proofErr w:type="spellStart"/>
      <w:r>
        <w:rPr>
          <w:rFonts w:ascii="Segoe UI" w:hAnsi="Segoe UI" w:cs="Segoe UI"/>
          <w:color w:val="0D0D0D"/>
        </w:rPr>
        <w:t>hukm</w:t>
      </w:r>
      <w:proofErr w:type="spellEnd"/>
      <w:r>
        <w:rPr>
          <w:rFonts w:ascii="Segoe UI" w:hAnsi="Segoe UI" w:cs="Segoe UI"/>
          <w:color w:val="0D0D0D"/>
        </w:rPr>
        <w:t>). For example, a prohibition related to being distracted from Friday prayer can be extended by analogy to other transactions causing the same distraction.</w:t>
      </w:r>
    </w:p>
    <w:p w14:paraId="5F439873" w14:textId="77777777" w:rsidR="00EA4DE6" w:rsidRDefault="00EA4DE6" w:rsidP="00EA4DE6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D0D0D"/>
        </w:rPr>
      </w:pPr>
      <w:proofErr w:type="spellStart"/>
      <w:r>
        <w:rPr>
          <w:rFonts w:ascii="Segoe UI" w:hAnsi="Segoe UI" w:cs="Segoe UI"/>
          <w:color w:val="0D0D0D"/>
        </w:rPr>
        <w:t>Ijtihad</w:t>
      </w:r>
      <w:proofErr w:type="spellEnd"/>
      <w:r>
        <w:rPr>
          <w:rFonts w:ascii="Segoe UI" w:hAnsi="Segoe UI" w:cs="Segoe UI"/>
          <w:color w:val="0D0D0D"/>
        </w:rPr>
        <w:t xml:space="preserve"> means making a serious intellectual effort to derive an Islamic legal ruling for new or difficult issues using the Quran, </w:t>
      </w:r>
      <w:proofErr w:type="spellStart"/>
      <w:r>
        <w:rPr>
          <w:rFonts w:ascii="Segoe UI" w:hAnsi="Segoe UI" w:cs="Segoe UI"/>
          <w:color w:val="0D0D0D"/>
        </w:rPr>
        <w:t>Sunnah</w:t>
      </w:r>
      <w:proofErr w:type="spellEnd"/>
      <w:r>
        <w:rPr>
          <w:rFonts w:ascii="Segoe UI" w:hAnsi="Segoe UI" w:cs="Segoe UI"/>
          <w:color w:val="0D0D0D"/>
        </w:rPr>
        <w:t xml:space="preserve">, principles of </w:t>
      </w:r>
      <w:proofErr w:type="spellStart"/>
      <w:r>
        <w:rPr>
          <w:rFonts w:ascii="Segoe UI" w:hAnsi="Segoe UI" w:cs="Segoe UI"/>
          <w:color w:val="0D0D0D"/>
        </w:rPr>
        <w:t>Shariah</w:t>
      </w:r>
      <w:proofErr w:type="spellEnd"/>
      <w:r>
        <w:rPr>
          <w:rFonts w:ascii="Segoe UI" w:hAnsi="Segoe UI" w:cs="Segoe UI"/>
          <w:color w:val="0D0D0D"/>
        </w:rPr>
        <w:t xml:space="preserve">, </w:t>
      </w:r>
      <w:proofErr w:type="spellStart"/>
      <w:r>
        <w:rPr>
          <w:rFonts w:ascii="Segoe UI" w:hAnsi="Segoe UI" w:cs="Segoe UI"/>
          <w:color w:val="0D0D0D"/>
        </w:rPr>
        <w:t>Qiyas</w:t>
      </w:r>
      <w:proofErr w:type="spellEnd"/>
      <w:r>
        <w:rPr>
          <w:rFonts w:ascii="Segoe UI" w:hAnsi="Segoe UI" w:cs="Segoe UI"/>
          <w:color w:val="0D0D0D"/>
        </w:rPr>
        <w:t xml:space="preserve">, and other recognized methods. </w:t>
      </w:r>
      <w:proofErr w:type="spellStart"/>
      <w:r>
        <w:rPr>
          <w:rFonts w:ascii="Segoe UI" w:hAnsi="Segoe UI" w:cs="Segoe UI"/>
          <w:color w:val="0D0D0D"/>
        </w:rPr>
        <w:t>Qiyas</w:t>
      </w:r>
      <w:proofErr w:type="spellEnd"/>
      <w:r>
        <w:rPr>
          <w:rFonts w:ascii="Segoe UI" w:hAnsi="Segoe UI" w:cs="Segoe UI"/>
          <w:color w:val="0D0D0D"/>
        </w:rPr>
        <w:t xml:space="preserve"> itself is one form of </w:t>
      </w:r>
      <w:proofErr w:type="spellStart"/>
      <w:r>
        <w:rPr>
          <w:rFonts w:ascii="Segoe UI" w:hAnsi="Segoe UI" w:cs="Segoe UI"/>
          <w:color w:val="0D0D0D"/>
        </w:rPr>
        <w:t>Ijtihad</w:t>
      </w:r>
      <w:proofErr w:type="spellEnd"/>
      <w:r>
        <w:rPr>
          <w:rFonts w:ascii="Segoe UI" w:hAnsi="Segoe UI" w:cs="Segoe UI"/>
          <w:color w:val="0D0D0D"/>
        </w:rPr>
        <w:t>.</w:t>
      </w:r>
    </w:p>
    <w:p w14:paraId="3F3C4BD2" w14:textId="77777777" w:rsidR="00EA4DE6" w:rsidRDefault="00EA4DE6" w:rsidP="00EA4DE6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 xml:space="preserve">A </w:t>
      </w:r>
      <w:proofErr w:type="spellStart"/>
      <w:r>
        <w:rPr>
          <w:rFonts w:ascii="Segoe UI" w:hAnsi="Segoe UI" w:cs="Segoe UI"/>
          <w:color w:val="0D0D0D"/>
        </w:rPr>
        <w:t>Mujtahid</w:t>
      </w:r>
      <w:proofErr w:type="spellEnd"/>
      <w:r>
        <w:rPr>
          <w:rFonts w:ascii="Segoe UI" w:hAnsi="Segoe UI" w:cs="Segoe UI"/>
          <w:color w:val="0D0D0D"/>
        </w:rPr>
        <w:t xml:space="preserve"> must have strong knowledge of Arabic, the Quran and its interpretation, Hadith and narrator reliability, </w:t>
      </w:r>
      <w:proofErr w:type="spellStart"/>
      <w:r>
        <w:rPr>
          <w:rFonts w:ascii="Segoe UI" w:hAnsi="Segoe UI" w:cs="Segoe UI"/>
          <w:color w:val="0D0D0D"/>
        </w:rPr>
        <w:t>Ijma</w:t>
      </w:r>
      <w:proofErr w:type="spellEnd"/>
      <w:r>
        <w:rPr>
          <w:rFonts w:ascii="Segoe UI" w:hAnsi="Segoe UI" w:cs="Segoe UI"/>
          <w:color w:val="0D0D0D"/>
        </w:rPr>
        <w:t xml:space="preserve">, </w:t>
      </w:r>
      <w:proofErr w:type="spellStart"/>
      <w:r>
        <w:rPr>
          <w:rFonts w:ascii="Segoe UI" w:hAnsi="Segoe UI" w:cs="Segoe UI"/>
          <w:color w:val="0D0D0D"/>
        </w:rPr>
        <w:t>Qiyas</w:t>
      </w:r>
      <w:proofErr w:type="spellEnd"/>
      <w:r>
        <w:rPr>
          <w:rFonts w:ascii="Segoe UI" w:hAnsi="Segoe UI" w:cs="Segoe UI"/>
          <w:color w:val="0D0D0D"/>
        </w:rPr>
        <w:t xml:space="preserve">, the objectives of </w:t>
      </w:r>
      <w:proofErr w:type="spellStart"/>
      <w:r>
        <w:rPr>
          <w:rFonts w:ascii="Segoe UI" w:hAnsi="Segoe UI" w:cs="Segoe UI"/>
          <w:color w:val="0D0D0D"/>
        </w:rPr>
        <w:t>Shariah</w:t>
      </w:r>
      <w:proofErr w:type="spellEnd"/>
      <w:r>
        <w:rPr>
          <w:rFonts w:ascii="Segoe UI" w:hAnsi="Segoe UI" w:cs="Segoe UI"/>
          <w:color w:val="0D0D0D"/>
        </w:rPr>
        <w:t>, and Islamic legal principles, as well as possess personal integrity and sound judgment.</w:t>
      </w:r>
    </w:p>
    <w:p w14:paraId="4AA75C65" w14:textId="77B41877" w:rsidR="00112B73" w:rsidRPr="00F51013" w:rsidRDefault="00112B73" w:rsidP="00F51013">
      <w:pPr>
        <w:pStyle w:val="Heading2"/>
        <w:spacing w:before="40" w:after="10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sectPr w:rsidR="00112B73" w:rsidRPr="00F51013" w:rsidSect="00034616">
      <w:footerReference w:type="default" r:id="rId8"/>
      <w:pgSz w:w="12240" w:h="15840"/>
      <w:pgMar w:top="648" w:right="864" w:bottom="648" w:left="864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E6ACE9" w14:textId="77777777" w:rsidR="00C45EEA" w:rsidRDefault="00C45EEA">
      <w:pPr>
        <w:spacing w:after="0" w:line="240" w:lineRule="auto"/>
      </w:pPr>
      <w:r>
        <w:separator/>
      </w:r>
    </w:p>
  </w:endnote>
  <w:endnote w:type="continuationSeparator" w:id="0">
    <w:p w14:paraId="11C6B777" w14:textId="77777777" w:rsidR="00C45EEA" w:rsidRDefault="00C45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86B15" w14:textId="4F43EFD9" w:rsidR="00112B73" w:rsidRDefault="00B82D9A">
    <w:pPr>
      <w:pStyle w:val="Footer"/>
      <w:jc w:val="center"/>
    </w:pPr>
    <w:r>
      <w:rPr>
        <w:i/>
        <w:sz w:val="14"/>
      </w:rPr>
      <w:t>HUM112 Islamic Studies |</w:t>
    </w:r>
    <w:r w:rsidR="00524EF4">
      <w:rPr>
        <w:i/>
        <w:sz w:val="14"/>
      </w:rPr>
      <w:t xml:space="preserve"> MLU Summary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0C3037" w14:textId="77777777" w:rsidR="00C45EEA" w:rsidRDefault="00C45EEA">
      <w:pPr>
        <w:spacing w:after="0" w:line="240" w:lineRule="auto"/>
      </w:pPr>
      <w:r>
        <w:separator/>
      </w:r>
    </w:p>
  </w:footnote>
  <w:footnote w:type="continuationSeparator" w:id="0">
    <w:p w14:paraId="089E55E3" w14:textId="77777777" w:rsidR="00C45EEA" w:rsidRDefault="00C45E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6FD08EA"/>
    <w:multiLevelType w:val="hybridMultilevel"/>
    <w:tmpl w:val="72BAD3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6132B96"/>
    <w:multiLevelType w:val="multilevel"/>
    <w:tmpl w:val="C3506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66624"/>
    <w:rsid w:val="0008246C"/>
    <w:rsid w:val="00112B73"/>
    <w:rsid w:val="0015074B"/>
    <w:rsid w:val="0029639D"/>
    <w:rsid w:val="00326F90"/>
    <w:rsid w:val="003C3E27"/>
    <w:rsid w:val="005233B1"/>
    <w:rsid w:val="00524EF4"/>
    <w:rsid w:val="00540CE2"/>
    <w:rsid w:val="005A074E"/>
    <w:rsid w:val="0066127B"/>
    <w:rsid w:val="006D06A4"/>
    <w:rsid w:val="00711930"/>
    <w:rsid w:val="00751FAA"/>
    <w:rsid w:val="00771D80"/>
    <w:rsid w:val="007869BD"/>
    <w:rsid w:val="008E65F0"/>
    <w:rsid w:val="00936BDA"/>
    <w:rsid w:val="00982141"/>
    <w:rsid w:val="009C0465"/>
    <w:rsid w:val="00A93134"/>
    <w:rsid w:val="00AA1D8D"/>
    <w:rsid w:val="00B47730"/>
    <w:rsid w:val="00B82D9A"/>
    <w:rsid w:val="00B83B10"/>
    <w:rsid w:val="00C45EEA"/>
    <w:rsid w:val="00CB0664"/>
    <w:rsid w:val="00EA4DE6"/>
    <w:rsid w:val="00F5101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5258B4"/>
  <w14:defaultImageDpi w14:val="300"/>
  <w15:docId w15:val="{1E8C5F3D-0E5D-4129-8A1D-026B40AA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ptos" w:eastAsia="Aptos" w:hAnsi="Aptos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EA4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2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3A7720C-CEA3-4286-9CC0-6301DB122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1835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sana</cp:lastModifiedBy>
  <cp:revision>3</cp:revision>
  <dcterms:created xsi:type="dcterms:W3CDTF">2026-08-24T08:30:00Z</dcterms:created>
  <dcterms:modified xsi:type="dcterms:W3CDTF">2026-08-24T08:33:00Z</dcterms:modified>
  <cp:category/>
</cp:coreProperties>
</file>