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spacing w:after="6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MLU-9.2 — Rights of Parents and Children</w:t>
      </w:r>
    </w:p>
    <w:p w:rsidR="00000000" w:rsidDel="00000000" w:rsidP="00000000" w:rsidRDefault="00000000" w:rsidRPr="00000000" w14:paraId="00000002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Brief Overview.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This MLU focuses on the rights and responsibilities of parents and children in Islam.</w:t>
      </w:r>
    </w:p>
    <w:p w:rsidR="00000000" w:rsidDel="00000000" w:rsidP="00000000" w:rsidRDefault="00000000" w:rsidRPr="00000000" w14:paraId="00000003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96e65r1o7xhu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It covers honoring parents, children’s rights, parental duties, education, care, affection, and fairness. It highlights Islamic guidance for building strong, respectful, and caring family relationships.</w:t>
      </w:r>
    </w:p>
    <w:p w:rsidR="00000000" w:rsidDel="00000000" w:rsidP="00000000" w:rsidRDefault="00000000" w:rsidRPr="00000000" w14:paraId="00000004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2"/>
        <w:spacing w:after="10" w:before="40" w:lineRule="auto"/>
        <w:rPr>
          <w:rFonts w:ascii="Times New Roman" w:cs="Times New Roman" w:eastAsia="Times New Roman" w:hAnsi="Times New Roman"/>
          <w:color w:val="1f497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1f497d"/>
          <w:sz w:val="24"/>
          <w:szCs w:val="24"/>
          <w:rtl w:val="0"/>
        </w:rPr>
        <w:t xml:space="preserve">MLO-9.2.1</w:t>
        <w:tab/>
        <w:tab/>
      </w:r>
    </w:p>
    <w:p w:rsidR="00000000" w:rsidDel="00000000" w:rsidP="00000000" w:rsidRDefault="00000000" w:rsidRPr="00000000" w14:paraId="00000006">
      <w:pPr>
        <w:pStyle w:val="Heading2"/>
        <w:spacing w:after="10" w:before="40" w:lineRule="auto"/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  <w:rtl w:val="0"/>
        </w:rPr>
        <w:t xml:space="preserve">Explaining the significance of honoring parents according to Quranic verses and Prophetic teachings and consequences of being dutiful or undutiful to parents as described in Islamic sources.</w:t>
      </w:r>
    </w:p>
    <w:p w:rsidR="00000000" w:rsidDel="00000000" w:rsidP="00000000" w:rsidRDefault="00000000" w:rsidRPr="00000000" w14:paraId="00000007">
      <w:pPr>
        <w:pStyle w:val="Heading2"/>
        <w:spacing w:after="10" w:before="40" w:lineRule="auto"/>
        <w:rPr>
          <w:rFonts w:ascii="Times New Roman" w:cs="Times New Roman" w:eastAsia="Times New Roman" w:hAnsi="Times New Roman"/>
          <w:color w:val="1f497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1f497d"/>
          <w:sz w:val="24"/>
          <w:szCs w:val="24"/>
          <w:rtl w:val="0"/>
        </w:rPr>
        <w:t xml:space="preserve">MLO-9.2.2</w:t>
        <w:tab/>
        <w:tab/>
      </w:r>
    </w:p>
    <w:p w:rsidR="00000000" w:rsidDel="00000000" w:rsidP="00000000" w:rsidRDefault="00000000" w:rsidRPr="00000000" w14:paraId="00000008">
      <w:pPr>
        <w:pStyle w:val="Heading2"/>
        <w:spacing w:after="10" w:before="40" w:lineRule="auto"/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  <w:rtl w:val="0"/>
        </w:rPr>
        <w:t xml:space="preserve">Explaining the significance of honoring parents according to Quranic verses and Prophetic teachings and consequences of being dutiful or undutiful to parents as described in Islamic sources.</w:t>
      </w:r>
    </w:p>
    <w:p w:rsidR="00000000" w:rsidDel="00000000" w:rsidP="00000000" w:rsidRDefault="00000000" w:rsidRPr="00000000" w14:paraId="00000009">
      <w:pPr>
        <w:pStyle w:val="Heading2"/>
        <w:spacing w:after="10" w:before="40" w:lineRule="auto"/>
        <w:rPr>
          <w:rFonts w:ascii="Times New Roman" w:cs="Times New Roman" w:eastAsia="Times New Roman" w:hAnsi="Times New Roman"/>
          <w:color w:val="1f497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1f497d"/>
          <w:sz w:val="24"/>
          <w:szCs w:val="24"/>
          <w:rtl w:val="0"/>
        </w:rPr>
        <w:t xml:space="preserve">MLO-9.2.3</w:t>
        <w:tab/>
        <w:tab/>
      </w:r>
    </w:p>
    <w:p w:rsidR="00000000" w:rsidDel="00000000" w:rsidP="00000000" w:rsidRDefault="00000000" w:rsidRPr="00000000" w14:paraId="0000000A">
      <w:pPr>
        <w:pStyle w:val="Heading2"/>
        <w:spacing w:after="10" w:before="40" w:lineRule="auto"/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  <w:rtl w:val="0"/>
        </w:rPr>
        <w:t xml:space="preserve">Explaining the importance of honoring parents in Islam, interpreting Quranic verses and Hadith, and distinguishing dutiful behavior from sinful actions.</w:t>
      </w:r>
    </w:p>
    <w:p w:rsidR="00000000" w:rsidDel="00000000" w:rsidP="00000000" w:rsidRDefault="00000000" w:rsidRPr="00000000" w14:paraId="0000000B">
      <w:pPr>
        <w:pStyle w:val="Heading2"/>
        <w:spacing w:after="10" w:before="40" w:lineRule="auto"/>
        <w:rPr>
          <w:rFonts w:ascii="Times New Roman" w:cs="Times New Roman" w:eastAsia="Times New Roman" w:hAnsi="Times New Roman"/>
          <w:color w:val="1f497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1f497d"/>
          <w:sz w:val="24"/>
          <w:szCs w:val="24"/>
          <w:rtl w:val="0"/>
        </w:rPr>
        <w:t xml:space="preserve">MLO-9.2.4</w:t>
        <w:tab/>
        <w:tab/>
      </w:r>
    </w:p>
    <w:p w:rsidR="00000000" w:rsidDel="00000000" w:rsidP="00000000" w:rsidRDefault="00000000" w:rsidRPr="00000000" w14:paraId="0000000C">
      <w:pPr>
        <w:pStyle w:val="Heading2"/>
        <w:spacing w:after="10" w:before="40" w:lineRule="auto"/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  <w:rtl w:val="0"/>
        </w:rPr>
        <w:t xml:space="preserve">Explaining the lifelong and afterlife significance of parents’ rights in Islam, interpreting Quranic verses and Hadith, and distinguishing when obedience is obligatory or limited.</w:t>
      </w:r>
    </w:p>
    <w:p w:rsidR="00000000" w:rsidDel="00000000" w:rsidP="00000000" w:rsidRDefault="00000000" w:rsidRPr="00000000" w14:paraId="0000000D">
      <w:pPr>
        <w:pStyle w:val="Heading2"/>
        <w:spacing w:after="10" w:before="40" w:lineRule="auto"/>
        <w:rPr>
          <w:rFonts w:ascii="Times New Roman" w:cs="Times New Roman" w:eastAsia="Times New Roman" w:hAnsi="Times New Roman"/>
          <w:color w:val="1f497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1f497d"/>
          <w:sz w:val="24"/>
          <w:szCs w:val="24"/>
          <w:rtl w:val="0"/>
        </w:rPr>
        <w:t xml:space="preserve">MLO-9.2.5</w:t>
        <w:tab/>
        <w:tab/>
      </w:r>
    </w:p>
    <w:p w:rsidR="00000000" w:rsidDel="00000000" w:rsidP="00000000" w:rsidRDefault="00000000" w:rsidRPr="00000000" w14:paraId="0000000E">
      <w:pPr>
        <w:pStyle w:val="Heading2"/>
        <w:spacing w:after="10" w:before="40" w:lineRule="auto"/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  <w:rtl w:val="0"/>
        </w:rPr>
        <w:t xml:space="preserve">Explaining the rights of children in Islam, interpreting Quranic verses and Hadith, and evaluating parental duties in providing spiritual, moral, and physical care.</w:t>
      </w:r>
    </w:p>
    <w:p w:rsidR="00000000" w:rsidDel="00000000" w:rsidP="00000000" w:rsidRDefault="00000000" w:rsidRPr="00000000" w14:paraId="0000000F">
      <w:pPr>
        <w:pStyle w:val="Heading2"/>
        <w:spacing w:after="10" w:before="40" w:lineRule="auto"/>
        <w:rPr>
          <w:rFonts w:ascii="Times New Roman" w:cs="Times New Roman" w:eastAsia="Times New Roman" w:hAnsi="Times New Roman"/>
          <w:color w:val="1f497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1f497d"/>
          <w:sz w:val="24"/>
          <w:szCs w:val="24"/>
          <w:rtl w:val="0"/>
        </w:rPr>
        <w:t xml:space="preserve">MLO-9.2.6</w:t>
        <w:tab/>
        <w:tab/>
      </w:r>
    </w:p>
    <w:p w:rsidR="00000000" w:rsidDel="00000000" w:rsidP="00000000" w:rsidRDefault="00000000" w:rsidRPr="00000000" w14:paraId="00000010">
      <w:pPr>
        <w:pStyle w:val="Heading2"/>
        <w:spacing w:after="10" w:before="40" w:lineRule="auto"/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  <w:rtl w:val="0"/>
        </w:rPr>
        <w:t xml:space="preserve">Explaining the rights of children to care and protection, and analyze the corresponding duties of parents in ensuring moral, intellectual, and physical well-being.</w:t>
      </w:r>
    </w:p>
    <w:p w:rsidR="00000000" w:rsidDel="00000000" w:rsidP="00000000" w:rsidRDefault="00000000" w:rsidRPr="00000000" w14:paraId="00000011">
      <w:pPr>
        <w:pStyle w:val="Heading2"/>
        <w:spacing w:after="10" w:before="40" w:lineRule="auto"/>
        <w:rPr>
          <w:rFonts w:ascii="Times New Roman" w:cs="Times New Roman" w:eastAsia="Times New Roman" w:hAnsi="Times New Roman"/>
          <w:color w:val="1f497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1f497d"/>
          <w:sz w:val="24"/>
          <w:szCs w:val="24"/>
          <w:rtl w:val="0"/>
        </w:rPr>
        <w:t xml:space="preserve">MLO-9.2.7</w:t>
        <w:tab/>
        <w:tab/>
      </w:r>
    </w:p>
    <w:p w:rsidR="00000000" w:rsidDel="00000000" w:rsidP="00000000" w:rsidRDefault="00000000" w:rsidRPr="00000000" w14:paraId="00000012">
      <w:pPr>
        <w:pStyle w:val="Heading2"/>
        <w:spacing w:after="10" w:before="40" w:lineRule="auto"/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  <w:rtl w:val="0"/>
        </w:rPr>
        <w:t xml:space="preserve">Explaining the importance of intellectual, moral, and religious education and the role of parents in guiding children.</w:t>
      </w:r>
    </w:p>
    <w:p w:rsidR="00000000" w:rsidDel="00000000" w:rsidP="00000000" w:rsidRDefault="00000000" w:rsidRPr="00000000" w14:paraId="00000013">
      <w:pPr>
        <w:pStyle w:val="Heading2"/>
        <w:spacing w:after="10" w:before="40" w:lineRule="auto"/>
        <w:rPr>
          <w:rFonts w:ascii="Times New Roman" w:cs="Times New Roman" w:eastAsia="Times New Roman" w:hAnsi="Times New Roman"/>
          <w:color w:val="1f497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1f497d"/>
          <w:sz w:val="24"/>
          <w:szCs w:val="24"/>
          <w:rtl w:val="0"/>
        </w:rPr>
        <w:t xml:space="preserve">MLO-9.2.8</w:t>
        <w:tab/>
        <w:tab/>
      </w:r>
    </w:p>
    <w:p w:rsidR="00000000" w:rsidDel="00000000" w:rsidP="00000000" w:rsidRDefault="00000000" w:rsidRPr="00000000" w14:paraId="00000014">
      <w:pPr>
        <w:pStyle w:val="Heading2"/>
        <w:spacing w:after="10" w:before="40" w:lineRule="auto"/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  <w:rtl w:val="0"/>
        </w:rPr>
        <w:t xml:space="preserve">Explaining children’s psychological needs, affection, fairness, and material provision according to Islamic teachings.</w:t>
      </w:r>
    </w:p>
    <w:sectPr>
      <w:footerReference r:id="rId7" w:type="default"/>
      <w:pgSz w:h="15840" w:w="12240" w:orient="portrait"/>
      <w:pgMar w:bottom="648" w:top="648" w:left="864" w:right="864" w:header="288" w:footer="28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pto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17"/>
        <w:szCs w:val="17"/>
        <w:u w:val="none"/>
        <w:shd w:fill="auto" w:val="clear"/>
        <w:vertAlign w:val="baseline"/>
      </w:rPr>
    </w:pPr>
    <w:r w:rsidDel="00000000" w:rsidR="00000000" w:rsidRPr="00000000">
      <w:rPr>
        <w:rFonts w:ascii="Aptos" w:cs="Aptos" w:eastAsia="Aptos" w:hAnsi="Aptos"/>
        <w:b w:val="0"/>
        <w:bCs w:val="0"/>
        <w:i w:val="1"/>
        <w:iCs w:val="1"/>
        <w:smallCaps w:val="0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 xml:space="preserve">HUM112 Islamic Studies | MLU </w:t>
    </w:r>
    <w:r w:rsidDel="00000000" w:rsidR="00000000" w:rsidRPr="00000000">
      <w:rPr>
        <w:i w:val="1"/>
        <w:iCs w:val="1"/>
        <w:sz w:val="14"/>
        <w:szCs w:val="14"/>
        <w:rtl w:val="0"/>
      </w:rPr>
      <w:t xml:space="preserve">Overview</w:t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17"/>
        <w:szCs w:val="17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19"/>
      <w:szCs w:val="19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b w:val="1"/>
      <w:bCs w:val="1"/>
      <w:color w:val="17365d"/>
      <w:sz w:val="32"/>
      <w:szCs w:val="32"/>
    </w:rPr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6"/>
    </w:pPr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7"/>
    </w:pPr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8"/>
    </w:pPr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link w:val="Head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 w:val="1"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val="17365d" w:themeColor="text2" w:themeShade="0000BF"/>
      <w:spacing w:val="5"/>
      <w:kern w:val="28"/>
      <w:sz w:val="52"/>
      <w:szCs w:val="52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 w:val="1"/>
      <w:iCs w:val="1"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 w:val="1"/>
    <w:rsid w:val="00FC693F"/>
    <w:pPr>
      <w:ind w:left="720"/>
      <w:contextualSpacing w:val="1"/>
    </w:pPr>
  </w:style>
  <w:style w:type="paragraph" w:styleId="BodyText">
    <w:name w:val="Body Text"/>
    <w:basedOn w:val="Normal"/>
    <w:link w:val="BodyTextChar"/>
    <w:uiPriority w:val="99"/>
    <w:unhideWhenUsed w:val="1"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 w:val="1"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 w:val="1"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 w:val="1"/>
    <w:rsid w:val="00AA1D8D"/>
    <w:pPr>
      <w:ind w:left="360" w:hanging="360"/>
      <w:contextualSpacing w:val="1"/>
    </w:pPr>
  </w:style>
  <w:style w:type="paragraph" w:styleId="List2">
    <w:name w:val="List 2"/>
    <w:basedOn w:val="Normal"/>
    <w:uiPriority w:val="99"/>
    <w:unhideWhenUsed w:val="1"/>
    <w:rsid w:val="00326F90"/>
    <w:pPr>
      <w:ind w:left="720" w:hanging="360"/>
      <w:contextualSpacing w:val="1"/>
    </w:pPr>
  </w:style>
  <w:style w:type="paragraph" w:styleId="List3">
    <w:name w:val="List 3"/>
    <w:basedOn w:val="Normal"/>
    <w:uiPriority w:val="99"/>
    <w:unhideWhenUsed w:val="1"/>
    <w:rsid w:val="00326F90"/>
    <w:pPr>
      <w:ind w:left="1080" w:hanging="360"/>
      <w:contextualSpacing w:val="1"/>
    </w:pPr>
  </w:style>
  <w:style w:type="paragraph" w:styleId="ListBullet">
    <w:name w:val="List Bullet"/>
    <w:basedOn w:val="Normal"/>
    <w:uiPriority w:val="99"/>
    <w:unhideWhenUsed w:val="1"/>
    <w:rsid w:val="00326F90"/>
    <w:pPr>
      <w:numPr>
        <w:numId w:val="1"/>
      </w:numPr>
      <w:contextualSpacing w:val="1"/>
    </w:pPr>
  </w:style>
  <w:style w:type="paragraph" w:styleId="ListBullet2">
    <w:name w:val="List Bullet 2"/>
    <w:basedOn w:val="Normal"/>
    <w:uiPriority w:val="99"/>
    <w:unhideWhenUsed w:val="1"/>
    <w:rsid w:val="00326F90"/>
    <w:pPr>
      <w:numPr>
        <w:numId w:val="2"/>
      </w:numPr>
      <w:contextualSpacing w:val="1"/>
    </w:pPr>
  </w:style>
  <w:style w:type="paragraph" w:styleId="ListBullet3">
    <w:name w:val="List Bullet 3"/>
    <w:basedOn w:val="Normal"/>
    <w:uiPriority w:val="99"/>
    <w:unhideWhenUsed w:val="1"/>
    <w:rsid w:val="00326F90"/>
    <w:pPr>
      <w:numPr>
        <w:numId w:val="3"/>
      </w:numPr>
      <w:contextualSpacing w:val="1"/>
    </w:pPr>
  </w:style>
  <w:style w:type="paragraph" w:styleId="ListNumber">
    <w:name w:val="List Number"/>
    <w:basedOn w:val="Normal"/>
    <w:uiPriority w:val="99"/>
    <w:unhideWhenUsed w:val="1"/>
    <w:rsid w:val="00326F90"/>
    <w:pPr>
      <w:numPr>
        <w:numId w:val="5"/>
      </w:numPr>
      <w:contextualSpacing w:val="1"/>
    </w:pPr>
  </w:style>
  <w:style w:type="paragraph" w:styleId="ListNumber2">
    <w:name w:val="List Number 2"/>
    <w:basedOn w:val="Normal"/>
    <w:uiPriority w:val="99"/>
    <w:unhideWhenUsed w:val="1"/>
    <w:rsid w:val="0029639D"/>
    <w:pPr>
      <w:numPr>
        <w:numId w:val="6"/>
      </w:numPr>
      <w:contextualSpacing w:val="1"/>
    </w:pPr>
  </w:style>
  <w:style w:type="paragraph" w:styleId="ListNumber3">
    <w:name w:val="List Number 3"/>
    <w:basedOn w:val="Normal"/>
    <w:uiPriority w:val="99"/>
    <w:unhideWhenUsed w:val="1"/>
    <w:rsid w:val="0029639D"/>
    <w:pPr>
      <w:numPr>
        <w:numId w:val="7"/>
      </w:numPr>
      <w:contextualSpacing w:val="1"/>
    </w:pPr>
  </w:style>
  <w:style w:type="paragraph" w:styleId="ListContinue">
    <w:name w:val="List Continue"/>
    <w:basedOn w:val="Normal"/>
    <w:uiPriority w:val="99"/>
    <w:unhideWhenUsed w:val="1"/>
    <w:rsid w:val="0029639D"/>
    <w:pPr>
      <w:spacing w:after="120"/>
      <w:ind w:left="360"/>
      <w:contextualSpacing w:val="1"/>
    </w:pPr>
  </w:style>
  <w:style w:type="paragraph" w:styleId="ListContinue2">
    <w:name w:val="List Continue 2"/>
    <w:basedOn w:val="Normal"/>
    <w:uiPriority w:val="99"/>
    <w:unhideWhenUsed w:val="1"/>
    <w:rsid w:val="0029639D"/>
    <w:pPr>
      <w:spacing w:after="120"/>
      <w:ind w:left="720"/>
      <w:contextualSpacing w:val="1"/>
    </w:pPr>
  </w:style>
  <w:style w:type="paragraph" w:styleId="ListContinue3">
    <w:name w:val="List Continue 3"/>
    <w:basedOn w:val="Normal"/>
    <w:uiPriority w:val="99"/>
    <w:unhideWhenUsed w:val="1"/>
    <w:rsid w:val="0029639D"/>
    <w:pPr>
      <w:spacing w:after="120"/>
      <w:ind w:left="1080"/>
      <w:contextualSpacing w:val="1"/>
    </w:pPr>
  </w:style>
  <w:style w:type="paragraph" w:styleId="MacroText">
    <w:name w:val="macro"/>
    <w:link w:val="MacroTextChar"/>
    <w:uiPriority w:val="99"/>
    <w:unhideWhenUsed w:val="1"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 w:val="1"/>
    <w:rsid w:val="00FC693F"/>
    <w:rPr>
      <w:i w:val="1"/>
      <w:iCs w:val="1"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 w:val="1"/>
      <w:iCs w:val="1"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FC693F"/>
    <w:rPr>
      <w:rFonts w:asciiTheme="majorHAnsi" w:cstheme="majorBidi" w:eastAsiaTheme="majorEastAsia" w:hAnsiTheme="majorHAnsi"/>
      <w:b w:val="1"/>
      <w:bCs w:val="1"/>
      <w:i w:val="1"/>
      <w:iCs w:val="1"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FC693F"/>
    <w:rPr>
      <w:rFonts w:asciiTheme="majorHAnsi" w:cstheme="majorBidi" w:eastAsiaTheme="majorEastAsia" w:hAnsiTheme="majorHAnsi"/>
      <w:color w:val="243f60" w:themeColor="accent1" w:themeShade="00007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243f60" w:themeColor="accent1" w:themeShade="00007F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FC693F"/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paragraph" w:styleId="Caption">
    <w:name w:val="caption"/>
    <w:basedOn w:val="Normal"/>
    <w:next w:val="Normal"/>
    <w:uiPriority w:val="35"/>
    <w:semiHidden w:val="1"/>
    <w:unhideWhenUsed w:val="1"/>
    <w:qFormat w:val="1"/>
    <w:rsid w:val="00FC693F"/>
    <w:pPr>
      <w:spacing w:line="240" w:lineRule="auto"/>
    </w:pPr>
    <w:rPr>
      <w:b w:val="1"/>
      <w:bCs w:val="1"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 w:val="1"/>
    <w:rsid w:val="00FC693F"/>
    <w:rPr>
      <w:b w:val="1"/>
      <w:bCs w:val="1"/>
    </w:rPr>
  </w:style>
  <w:style w:type="character" w:styleId="Emphasis">
    <w:name w:val="Emphasis"/>
    <w:basedOn w:val="DefaultParagraphFont"/>
    <w:uiPriority w:val="20"/>
    <w:qFormat w:val="1"/>
    <w:rsid w:val="00FC693F"/>
    <w:rPr>
      <w:i w:val="1"/>
      <w:iCs w:val="1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 w:val="1"/>
      <w:bCs w:val="1"/>
      <w:i w:val="1"/>
      <w:iCs w:val="1"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 w:val="1"/>
      <w:bCs w:val="1"/>
      <w:i w:val="1"/>
      <w:iCs w:val="1"/>
      <w:color w:val="4f81bd" w:themeColor="accent1"/>
    </w:rPr>
  </w:style>
  <w:style w:type="character" w:styleId="SubtleEmphasis">
    <w:name w:val="Subtle Emphasis"/>
    <w:basedOn w:val="DefaultParagraphFont"/>
    <w:uiPriority w:val="19"/>
    <w:qFormat w:val="1"/>
    <w:rsid w:val="00FC693F"/>
    <w:rPr>
      <w:i w:val="1"/>
      <w:iCs w:val="1"/>
      <w:color w:val="808080" w:themeColor="text1" w:themeTint="00007F"/>
    </w:rPr>
  </w:style>
  <w:style w:type="character" w:styleId="IntenseEmphasis">
    <w:name w:val="Intense Emphasis"/>
    <w:basedOn w:val="DefaultParagraphFont"/>
    <w:uiPriority w:val="21"/>
    <w:qFormat w:val="1"/>
    <w:rsid w:val="00FC693F"/>
    <w:rPr>
      <w:b w:val="1"/>
      <w:bCs w:val="1"/>
      <w:i w:val="1"/>
      <w:iCs w:val="1"/>
      <w:color w:val="4f81bd" w:themeColor="accent1"/>
    </w:rPr>
  </w:style>
  <w:style w:type="character" w:styleId="SubtleReference">
    <w:name w:val="Subtle Reference"/>
    <w:basedOn w:val="DefaultParagraphFont"/>
    <w:uiPriority w:val="31"/>
    <w:qFormat w:val="1"/>
    <w:rsid w:val="00FC693F"/>
    <w:rPr>
      <w:smallCaps w:val="1"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1"/>
    <w:rsid w:val="00FC693F"/>
    <w:rPr>
      <w:b w:val="1"/>
      <w:bCs w:val="1"/>
      <w:smallCaps w:val="1"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1"/>
    <w:rsid w:val="00FC693F"/>
    <w:rPr>
      <w:b w:val="1"/>
      <w:bCs w:val="1"/>
      <w:smallCaps w:val="1"/>
      <w:spacing w:val="5"/>
    </w:rPr>
  </w:style>
  <w:style w:type="paragraph" w:styleId="TOCHeading">
    <w:name w:val="TOC Heading"/>
    <w:basedOn w:val="Heading1"/>
    <w:next w:val="Normal"/>
    <w:uiPriority w:val="39"/>
    <w:semiHidden w:val="1"/>
    <w:unhideWhenUsed w:val="1"/>
    <w:qFormat w:val="1"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0000BF"/>
    </w:rPr>
    <w:tblPr>
      <w:tblStyleRowBandSize w:val="1"/>
      <w:tblStyleColBandSize w:val="1"/>
      <w:tblInd w:w="0.0" w:type="dxa"/>
      <w:tblBorders>
        <w:top w:color="000000" w:space="0" w:sz="8" w:themeColor="text1" w:val="single"/>
        <w:bottom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0000BF"/>
    </w:rPr>
    <w:tblPr>
      <w:tblStyleRowBandSize w:val="1"/>
      <w:tblStyleColBandSize w:val="1"/>
      <w:tblInd w:w="0.0" w:type="dxa"/>
      <w:tblBorders>
        <w:top w:color="4f81bd" w:space="0" w:sz="8" w:themeColor="accent1" w:val="single"/>
        <w:bottom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0000BF"/>
    </w:rPr>
    <w:tblPr>
      <w:tblStyleRowBandSize w:val="1"/>
      <w:tblStyleColBandSize w:val="1"/>
      <w:tblInd w:w="0.0" w:type="dxa"/>
      <w:tblBorders>
        <w:top w:color="c0504d" w:space="0" w:sz="8" w:themeColor="accent2" w:val="single"/>
        <w:bottom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0000BF"/>
    </w:rPr>
    <w:tblPr>
      <w:tblStyleRowBandSize w:val="1"/>
      <w:tblStyleColBandSize w:val="1"/>
      <w:tblInd w:w="0.0" w:type="dxa"/>
      <w:tblBorders>
        <w:top w:color="9bbb59" w:space="0" w:sz="8" w:themeColor="accent3" w:val="single"/>
        <w:bottom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0000BF"/>
    </w:rPr>
    <w:tblPr>
      <w:tblStyleRowBandSize w:val="1"/>
      <w:tblStyleColBandSize w:val="1"/>
      <w:tblInd w:w="0.0" w:type="dxa"/>
      <w:tblBorders>
        <w:top w:color="8064a2" w:space="0" w:sz="8" w:themeColor="accent4" w:val="single"/>
        <w:bottom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0000BF"/>
    </w:rPr>
    <w:tblPr>
      <w:tblStyleRowBandSize w:val="1"/>
      <w:tblStyleColBandSize w:val="1"/>
      <w:tblInd w:w="0.0" w:type="dxa"/>
      <w:tblBorders>
        <w:top w:color="4bacc6" w:space="0" w:sz="8" w:themeColor="accent5" w:val="single"/>
        <w:bottom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0000BF"/>
    </w:rPr>
    <w:tblPr>
      <w:tblStyleRowBandSize w:val="1"/>
      <w:tblStyleColBandSize w:val="1"/>
      <w:tblInd w:w="0.0" w:type="dxa"/>
      <w:tblBorders>
        <w:top w:color="f79646" w:space="0" w:sz="8" w:themeColor="accent6" w:val="single"/>
        <w:bottom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0000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0000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0000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0000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0000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0000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0000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404040" w:space="0" w:sz="8" w:themeColor="text1" w:themeTint="0000BF" w:val="sing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04040" w:space="0" w:sz="6" w:themeColor="text1" w:themeTint="0000BF" w:val="doub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ba0cd" w:space="0" w:sz="8" w:themeColor="accent1" w:themeTint="0000BF" w:val="sing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ba0cd" w:space="0" w:sz="6" w:themeColor="accent1" w:themeTint="0000BF" w:val="doub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cf7b79" w:space="0" w:sz="8" w:themeColor="accent2" w:themeTint="0000BF" w:val="sing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f7b79" w:space="0" w:sz="6" w:themeColor="accent2" w:themeTint="0000BF" w:val="doub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b3cc82" w:space="0" w:sz="8" w:themeColor="accent3" w:themeTint="0000BF" w:val="sing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b3cc82" w:space="0" w:sz="6" w:themeColor="accent3" w:themeTint="0000BF" w:val="doub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9f8ab9" w:space="0" w:sz="8" w:themeColor="accent4" w:themeTint="0000BF" w:val="sing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f8ab9" w:space="0" w:sz="6" w:themeColor="accent4" w:themeTint="0000BF" w:val="doub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8c0d4" w:space="0" w:sz="8" w:themeColor="accent5" w:themeTint="0000BF" w:val="sing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8c0d4" w:space="0" w:sz="6" w:themeColor="accent5" w:themeTint="0000BF" w:val="doub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f9b074" w:space="0" w:sz="8" w:themeColor="accent6" w:themeTint="0000BF" w:val="sing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9b074" w:space="0" w:sz="6" w:themeColor="accent6" w:themeTint="0000BF" w:val="doub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bottom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000000" w:space="0" w:sz="8" w:themeColor="tex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shd w:color="auto" w:fill="c0c0c0" w:themeFill="text1" w:themeFillTint="00003F" w:val="clear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bottom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f81bd" w:space="0" w:sz="8" w:themeColor="accen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shd w:color="auto" w:fill="d3dfee" w:themeFill="accent1" w:themeFillTint="00003F" w:val="clear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bottom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c0504d" w:space="0" w:sz="8" w:themeColor="accent2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shd w:color="auto" w:fill="efd3d2" w:themeFill="accent2" w:themeFillTint="00003F" w:val="clear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bottom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9bbb59" w:space="0" w:sz="8" w:themeColor="accent3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shd w:color="auto" w:fill="e6eed5" w:themeFill="accent3" w:themeFillTint="00003F" w:val="clear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bottom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8064a2" w:space="0" w:sz="8" w:themeColor="accent4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shd w:color="auto" w:fill="dfd8e8" w:themeFill="accent4" w:themeFillTint="00003F" w:val="clear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bottom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bacc6" w:space="0" w:sz="8" w:themeColor="accent5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shd w:color="auto" w:fill="d2eaf1" w:themeFill="accent5" w:themeFillTint="00003F" w:val="clear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bottom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f79646" w:space="0" w:sz="8" w:themeColor="accent6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shd w:color="auto" w:fill="fde4d0" w:themeFill="accent6" w:themeFillTint="00003F" w:val="clear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000000" w:space="0" w:sz="24" w:themeColor="tex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000000" w:space="0" w:sz="8" w:themeColor="tex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000000" w:space="0" w:sz="8" w:themeColor="tex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f81bd" w:space="0" w:sz="24" w:themeColor="accen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f81bd" w:space="0" w:sz="8" w:themeColor="accen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f81bd" w:space="0" w:sz="8" w:themeColor="accen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c0504d" w:space="0" w:sz="8" w:themeColor="accent2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c0504d" w:space="0" w:sz="8" w:themeColor="accent2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9bbb59" w:space="0" w:sz="8" w:themeColor="accent3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9bbb59" w:space="0" w:sz="8" w:themeColor="accent3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8064a2" w:space="0" w:sz="8" w:themeColor="accent4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8064a2" w:space="0" w:sz="8" w:themeColor="accent4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bacc6" w:space="0" w:sz="8" w:themeColor="accent5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bacc6" w:space="0" w:sz="8" w:themeColor="accent5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79646" w:space="0" w:sz="8" w:themeColor="accent6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f79646" w:space="0" w:sz="8" w:themeColor="accent6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  <w:insideV w:color="404040" w:space="0" w:sz="8" w:themeColor="tex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404040" w:space="0" w:sz="18" w:themeColor="tex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  <w:insideV w:color="7ba0cd" w:space="0" w:sz="8" w:themeColor="accen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ba0cd" w:space="0" w:sz="18" w:themeColor="accen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  <w:insideV w:color="cf7b79" w:space="0" w:sz="8" w:themeColor="accent2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cf7b79" w:space="0" w:sz="18" w:themeColor="accent2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  <w:insideV w:color="b3cc82" w:space="0" w:sz="8" w:themeColor="accent3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b3cc82" w:space="0" w:sz="18" w:themeColor="accent3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  <w:insideV w:color="9f8ab9" w:space="0" w:sz="8" w:themeColor="accent4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9f8ab9" w:space="0" w:sz="18" w:themeColor="accent4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  <w:insideV w:color="78c0d4" w:space="0" w:sz="8" w:themeColor="accent5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8c0d4" w:space="0" w:sz="18" w:themeColor="accent5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  <w:insideV w:color="f9b074" w:space="0" w:sz="8" w:themeColor="accent6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f9b074" w:space="0" w:sz="18" w:themeColor="accent6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6e6e6" w:themeFill="tex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ccccc" w:themeFill="text1" w:themeFillTint="000033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2f8" w:themeFill="accen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be5f1" w:themeFill="accent1" w:themeFillTint="000033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8eded" w:themeFill="accent2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2dbdb" w:themeFill="accent2" w:themeFillTint="000033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5f8ee" w:themeFill="accent3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af1dd" w:themeFill="accent3" w:themeFillTint="000033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2eff6" w:themeFill="accent4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5dfec" w:themeFill="accent4" w:themeFillTint="000033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6f9" w:themeFill="accent5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aeef3" w:themeFill="accent5" w:themeFillTint="000033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ef4ec" w:themeFill="accent6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9d9" w:themeFill="accent6" w:themeFillTint="000033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808080" w:themeFill="tex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00007F" w:val="clear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7bfde" w:themeFill="accen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00007F" w:val="clear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dfa7a6" w:themeFill="accent2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00007F" w:val="clear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cdddac" w:themeFill="accent3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00007F" w:val="clear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bfb1d0" w:themeFill="accent4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00007F" w:val="clear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5d5e2" w:themeFill="accent5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00007F" w:val="clear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fbcaa2" w:themeFill="accent6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00007F" w:val="clear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000000" w:themeFill="tex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4f81bd" w:themeFill="accen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43f60" w:themeFill="accen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504d" w:themeFill="accent2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622423" w:themeFill="accent2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9bbb59" w:themeFill="accent3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e6128" w:themeFill="accent3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8064a2" w:themeFill="accent4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f3151" w:themeFill="accent4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4bacc6" w:themeFill="accent5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05867" w:themeFill="accent5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79646" w:themeFill="accent6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74706" w:themeFill="accent6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6e6" w:themeFill="tex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000000" w:themeFill="tex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000000" w:space="0" w:sz="4" w:themeColor="text1" w:themeShade="000099" w:val="single"/>
          <w:insideV w:space="0" w:sz="0" w:val="nil"/>
        </w:tcBorders>
        <w:shd w:color="auto" w:fill="000000" w:themeFill="tex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shd w:color="auto" w:fill="999999" w:themeFill="text1" w:themeFillTint="000066" w:val="clear"/>
      </w:tcPr>
    </w:tblStylePr>
    <w:tblStylePr w:type="band1Horz">
      <w:tblPr/>
      <w:tcPr>
        <w:shd w:color="auto" w:fill="808080" w:themeFill="tex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2f8" w:themeFill="accen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c4c74" w:space="0" w:sz="4" w:themeColor="accent1" w:themeShade="000099" w:val="single"/>
          <w:insideV w:space="0" w:sz="0" w:val="nil"/>
        </w:tcBorders>
        <w:shd w:color="auto" w:fill="2c4c74" w:themeFill="accen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c4c74" w:themeFill="accent1" w:themeFillShade="000099" w:val="clear"/>
      </w:tcPr>
    </w:tblStylePr>
    <w:tblStylePr w:type="band1Vert">
      <w:tblPr/>
      <w:tcPr>
        <w:shd w:color="auto" w:fill="b8cce4" w:themeFill="accent1" w:themeFillTint="000066" w:val="clear"/>
      </w:tcPr>
    </w:tblStylePr>
    <w:tblStylePr w:type="band1Horz">
      <w:tblPr/>
      <w:tcPr>
        <w:shd w:color="auto" w:fill="a7bfde" w:themeFill="accen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8eded" w:themeFill="accent2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772c2a" w:space="0" w:sz="4" w:themeColor="accent2" w:themeShade="000099" w:val="single"/>
          <w:insideV w:space="0" w:sz="0" w:val="nil"/>
        </w:tcBorders>
        <w:shd w:color="auto" w:fill="772c2a" w:themeFill="accent2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72c2a" w:themeFill="accent2" w:themeFillShade="000099" w:val="clear"/>
      </w:tcPr>
    </w:tblStylePr>
    <w:tblStylePr w:type="band1Vert">
      <w:tblPr/>
      <w:tcPr>
        <w:shd w:color="auto" w:fill="e5b8b7" w:themeFill="accent2" w:themeFillTint="000066" w:val="clear"/>
      </w:tcPr>
    </w:tblStylePr>
    <w:tblStylePr w:type="band1Horz">
      <w:tblPr/>
      <w:tcPr>
        <w:shd w:color="auto" w:fill="dfa7a6" w:themeFill="accent2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5f8ee" w:themeFill="accent3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5e7530" w:space="0" w:sz="4" w:themeColor="accent3" w:themeShade="000099" w:val="single"/>
          <w:insideV w:space="0" w:sz="0" w:val="nil"/>
        </w:tcBorders>
        <w:shd w:color="auto" w:fill="5e7530" w:themeFill="accent3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e7530" w:themeFill="accent3" w:themeFillShade="000099" w:val="clear"/>
      </w:tcPr>
    </w:tblStylePr>
    <w:tblStylePr w:type="band1Vert">
      <w:tblPr/>
      <w:tcPr>
        <w:shd w:color="auto" w:fill="d6e3bc" w:themeFill="accent3" w:themeFillTint="000066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eff6" w:themeFill="accent4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4c3b62" w:space="0" w:sz="4" w:themeColor="accent4" w:themeShade="000099" w:val="single"/>
          <w:insideV w:space="0" w:sz="0" w:val="nil"/>
        </w:tcBorders>
        <w:shd w:color="auto" w:fill="4c3b62" w:themeFill="accent4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c3b62" w:themeFill="accent4" w:themeFillShade="000099" w:val="clear"/>
      </w:tcPr>
    </w:tblStylePr>
    <w:tblStylePr w:type="band1Vert">
      <w:tblPr/>
      <w:tcPr>
        <w:shd w:color="auto" w:fill="ccc0d9" w:themeFill="accent4" w:themeFillTint="000066" w:val="clear"/>
      </w:tcPr>
    </w:tblStylePr>
    <w:tblStylePr w:type="band1Horz">
      <w:tblPr/>
      <w:tcPr>
        <w:shd w:color="auto" w:fill="bfb1d0" w:themeFill="accent4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6f9" w:themeFill="accent5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76a7c" w:space="0" w:sz="4" w:themeColor="accent5" w:themeShade="000099" w:val="single"/>
          <w:insideV w:space="0" w:sz="0" w:val="nil"/>
        </w:tcBorders>
        <w:shd w:color="auto" w:fill="276a7c" w:themeFill="accent5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76a7c" w:themeFill="accent5" w:themeFillShade="000099" w:val="clear"/>
      </w:tcPr>
    </w:tblStylePr>
    <w:tblStylePr w:type="band1Vert">
      <w:tblPr/>
      <w:tcPr>
        <w:shd w:color="auto" w:fill="b6dde8" w:themeFill="accent5" w:themeFillTint="000066" w:val="clear"/>
      </w:tcPr>
    </w:tblStylePr>
    <w:tblStylePr w:type="band1Horz">
      <w:tblPr/>
      <w:tcPr>
        <w:shd w:color="auto" w:fill="a5d5e2" w:themeFill="accent5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ef4ec" w:themeFill="accent6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b65608" w:space="0" w:sz="4" w:themeColor="accent6" w:themeShade="000099" w:val="single"/>
          <w:insideV w:space="0" w:sz="0" w:val="nil"/>
        </w:tcBorders>
        <w:shd w:color="auto" w:fill="b65608" w:themeFill="accent6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b65608" w:themeFill="accent6" w:themeFillShade="000099" w:val="clear"/>
      </w:tcPr>
    </w:tblStylePr>
    <w:tblStylePr w:type="band1Vert">
      <w:tblPr/>
      <w:tcPr>
        <w:shd w:color="auto" w:fill="fbd4b4" w:themeFill="accent6" w:themeFillTint="000066" w:val="clear"/>
      </w:tcPr>
    </w:tblStylePr>
    <w:tblStylePr w:type="band1Horz">
      <w:tblPr/>
      <w:tcPr>
        <w:shd w:color="auto" w:fill="fbcaa2" w:themeFill="accent6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6e6" w:themeFill="tex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2f8" w:themeFill="accen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shd w:color="auto" w:fill="dbe5f1" w:themeFill="accent1" w:themeFillTint="000033" w:val="clear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8eded" w:themeFill="accent2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shd w:color="auto" w:fill="f2dbdb" w:themeFill="accent2" w:themeFillTint="000033" w:val="clear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5f8ee" w:themeFill="accent3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0000CC" w:val="clear"/>
      </w:tcPr>
    </w:tblStylePr>
    <w:tblStylePr w:type="lastRow">
      <w:rPr>
        <w:b w:val="1"/>
        <w:bCs w:val="1"/>
        <w:color w:val="664e82" w:themeColor="accent4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shd w:color="auto" w:fill="eaf1dd" w:themeFill="accent3" w:themeFillTint="000033" w:val="clear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eff6" w:themeFill="accent4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0000CC" w:val="clear"/>
      </w:tcPr>
    </w:tblStylePr>
    <w:tblStylePr w:type="lastRow">
      <w:rPr>
        <w:b w:val="1"/>
        <w:bCs w:val="1"/>
        <w:color w:val="7e9c40" w:themeColor="accent3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shd w:color="auto" w:fill="e5dfec" w:themeFill="accent4" w:themeFillTint="000033" w:val="clear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6f9" w:themeFill="accent5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0000CC" w:val="clear"/>
      </w:tcPr>
    </w:tblStylePr>
    <w:tblStylePr w:type="lastRow">
      <w:rPr>
        <w:b w:val="1"/>
        <w:bCs w:val="1"/>
        <w:color w:val="f2730a" w:themeColor="accent6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shd w:color="auto" w:fill="daeef3" w:themeFill="accent5" w:themeFillTint="000033" w:val="clear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ef4ec" w:themeFill="accent6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0000CC" w:val="clear"/>
      </w:tcPr>
    </w:tblStylePr>
    <w:tblStylePr w:type="lastRow">
      <w:rPr>
        <w:b w:val="1"/>
        <w:bCs w:val="1"/>
        <w:color w:val="348da5" w:themeColor="accent5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shd w:color="auto" w:fill="fde9d9" w:themeFill="accent6" w:themeFillTint="000033" w:val="clear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ccccc" w:themeFill="text1" w:themeFillTint="000033" w:val="clear"/>
    </w:tcPr>
    <w:tblStylePr w:type="firstRow">
      <w:rPr>
        <w:b w:val="1"/>
        <w:bCs w:val="1"/>
      </w:rPr>
      <w:tblPr/>
      <w:tcPr>
        <w:shd w:color="auto" w:fill="999999" w:themeFill="tex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999999" w:themeFill="text1" w:themeFillTint="000066" w:val="clear"/>
      </w:tcPr>
    </w:tblStylePr>
    <w:tblStylePr w:type="fir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la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be5f1" w:themeFill="accent1" w:themeFillTint="000033" w:val="clear"/>
    </w:tcPr>
    <w:tblStylePr w:type="firstRow">
      <w:rPr>
        <w:b w:val="1"/>
        <w:bCs w:val="1"/>
      </w:rPr>
      <w:tblPr/>
      <w:tcPr>
        <w:shd w:color="auto" w:fill="b8cce4" w:themeFill="accen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8cce4" w:themeFill="accent1" w:themeFillTint="000066" w:val="clear"/>
      </w:tcPr>
    </w:tblStylePr>
    <w:tblStylePr w:type="fir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la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dbdb" w:themeFill="accent2" w:themeFillTint="000033" w:val="clear"/>
    </w:tcPr>
    <w:tblStylePr w:type="firstRow">
      <w:rPr>
        <w:b w:val="1"/>
        <w:bCs w:val="1"/>
      </w:rPr>
      <w:tblPr/>
      <w:tcPr>
        <w:shd w:color="auto" w:fill="e5b8b7" w:themeFill="accent2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e5b8b7" w:themeFill="accent2" w:themeFillTint="000066" w:val="clear"/>
      </w:tcPr>
    </w:tblStylePr>
    <w:tblStylePr w:type="fir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la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af1dd" w:themeFill="accent3" w:themeFillTint="000033" w:val="clear"/>
    </w:tcPr>
    <w:tblStylePr w:type="firstRow">
      <w:rPr>
        <w:b w:val="1"/>
        <w:bCs w:val="1"/>
      </w:rPr>
      <w:tblPr/>
      <w:tcPr>
        <w:shd w:color="auto" w:fill="d6e3bc" w:themeFill="accent3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d6e3bc" w:themeFill="accent3" w:themeFillTint="000066" w:val="clear"/>
      </w:tcPr>
    </w:tblStylePr>
    <w:tblStylePr w:type="fir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la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5dfec" w:themeFill="accent4" w:themeFillTint="000033" w:val="clear"/>
    </w:tcPr>
    <w:tblStylePr w:type="firstRow">
      <w:rPr>
        <w:b w:val="1"/>
        <w:bCs w:val="1"/>
      </w:rPr>
      <w:tblPr/>
      <w:tcPr>
        <w:shd w:color="auto" w:fill="ccc0d9" w:themeFill="accent4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ccc0d9" w:themeFill="accent4" w:themeFillTint="000066" w:val="clear"/>
      </w:tcPr>
    </w:tblStylePr>
    <w:tblStylePr w:type="fir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la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aeef3" w:themeFill="accent5" w:themeFillTint="000033" w:val="clear"/>
    </w:tcPr>
    <w:tblStylePr w:type="firstRow">
      <w:rPr>
        <w:b w:val="1"/>
        <w:bCs w:val="1"/>
      </w:rPr>
      <w:tblPr/>
      <w:tcPr>
        <w:shd w:color="auto" w:fill="b6dde8" w:themeFill="accent5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6dde8" w:themeFill="accent5" w:themeFillTint="000066" w:val="clear"/>
      </w:tcPr>
    </w:tblStylePr>
    <w:tblStylePr w:type="fir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la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9d9" w:themeFill="accent6" w:themeFillTint="000033" w:val="clear"/>
    </w:tcPr>
    <w:tblStylePr w:type="firstRow">
      <w:rPr>
        <w:b w:val="1"/>
        <w:bCs w:val="1"/>
      </w:rPr>
      <w:tblPr/>
      <w:tcPr>
        <w:shd w:color="auto" w:fill="fbd4b4" w:themeFill="accent6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fbd4b4" w:themeFill="accent6" w:themeFillTint="000066" w:val="clear"/>
      </w:tcPr>
    </w:tblStylePr>
    <w:tblStylePr w:type="fir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la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1SFP/nHTJAM2R55FHzjzjS/GpQ==">CgMxLjAyDmguOTZlNjVyMW83eGh1OAByITF4ODg5RmlJdFM3bTRoTGoxLWdBUklCVHpvYkxaUXBhUQ==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2026-08-24T05:45:00Z</dcterms:created>
  <dc:creator>python-docx</dc:creator>
</cp:coreProperties>
</file>